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22736380"/>
      <w:bookmarkStart w:id="1" w:name="_Toc418758133"/>
      <w:bookmarkStart w:id="2" w:name="_Toc43608605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财经商贸学院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市场营销</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袁杰</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市场营销</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b/>
          <w:bCs/>
          <w:sz w:val="24"/>
          <w:szCs w:val="32"/>
          <w:lang w:val="en-US" w:eastAsia="zh-CN"/>
        </w:rPr>
        <w:t>电子商务</w:t>
      </w:r>
      <w:r>
        <w:rPr>
          <w:b/>
          <w:bCs/>
          <w:sz w:val="24"/>
          <w:szCs w:val="32"/>
        </w:rPr>
        <w:tab/>
      </w:r>
      <w:r>
        <w:rPr>
          <w:rFonts w:hint="eastAsia"/>
          <w:sz w:val="24"/>
          <w:szCs w:val="32"/>
        </w:rPr>
        <w:t>（</w:t>
      </w:r>
      <w:r>
        <w:rPr>
          <w:rFonts w:hint="eastAsia"/>
          <w:sz w:val="24"/>
          <w:szCs w:val="32"/>
          <w:lang w:val="en-US" w:eastAsia="zh-CN"/>
        </w:rPr>
        <w:t>530605</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3"/>
        <w:gridCol w:w="5848"/>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18925D17">
            <w:pPr>
              <w:snapToGrid w:val="0"/>
              <w:contextualSpacing/>
              <w:rPr>
                <w:sz w:val="24"/>
              </w:rPr>
            </w:pPr>
            <w:r>
              <w:rPr>
                <w:sz w:val="24"/>
              </w:rPr>
              <w:t>所属专业大类（代码）</w:t>
            </w:r>
          </w:p>
        </w:tc>
        <w:tc>
          <w:tcPr>
            <w:tcW w:w="5848" w:type="dxa"/>
            <w:vAlign w:val="center"/>
          </w:tcPr>
          <w:p w14:paraId="420A095B">
            <w:pPr>
              <w:snapToGrid w:val="0"/>
              <w:contextualSpacing/>
              <w:rPr>
                <w:rFonts w:hint="default" w:eastAsia="宋体"/>
                <w:sz w:val="24"/>
                <w:lang w:val="en-US" w:eastAsia="zh-CN"/>
              </w:rPr>
            </w:pPr>
            <w:r>
              <w:rPr>
                <w:rFonts w:hint="eastAsia"/>
                <w:sz w:val="24"/>
                <w:lang w:val="en-US" w:eastAsia="zh-CN"/>
              </w:rPr>
              <w:t>53</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5C3DC068">
            <w:pPr>
              <w:snapToGrid w:val="0"/>
              <w:contextualSpacing/>
              <w:rPr>
                <w:sz w:val="24"/>
              </w:rPr>
            </w:pPr>
            <w:r>
              <w:rPr>
                <w:sz w:val="24"/>
              </w:rPr>
              <w:t>所属专业类（代码）</w:t>
            </w:r>
          </w:p>
        </w:tc>
        <w:tc>
          <w:tcPr>
            <w:tcW w:w="5848" w:type="dxa"/>
            <w:vAlign w:val="center"/>
          </w:tcPr>
          <w:p w14:paraId="480B358A">
            <w:pPr>
              <w:snapToGrid w:val="0"/>
              <w:contextualSpacing/>
              <w:rPr>
                <w:rFonts w:hint="default" w:eastAsia="宋体"/>
                <w:sz w:val="24"/>
                <w:lang w:val="en-US" w:eastAsia="zh-CN"/>
              </w:rPr>
            </w:pPr>
            <w:r>
              <w:rPr>
                <w:rFonts w:hint="eastAsia"/>
                <w:sz w:val="24"/>
                <w:lang w:val="en-US" w:eastAsia="zh-CN"/>
              </w:rPr>
              <w:t>5306</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53210113">
            <w:pPr>
              <w:snapToGrid w:val="0"/>
              <w:contextualSpacing/>
              <w:rPr>
                <w:sz w:val="24"/>
              </w:rPr>
            </w:pPr>
            <w:r>
              <w:rPr>
                <w:sz w:val="24"/>
              </w:rPr>
              <w:t>对应行业（代码）</w:t>
            </w:r>
          </w:p>
        </w:tc>
        <w:tc>
          <w:tcPr>
            <w:tcW w:w="5848" w:type="dxa"/>
            <w:shd w:val="clear" w:color="auto" w:fill="auto"/>
            <w:vAlign w:val="top"/>
          </w:tcPr>
          <w:p w14:paraId="343321BA">
            <w:pPr>
              <w:snapToGrid w:val="0"/>
              <w:contextualSpacing/>
              <w:rPr>
                <w:rFonts w:hint="eastAsia"/>
                <w:sz w:val="24"/>
                <w:lang w:val="en-US" w:eastAsia="en-US"/>
              </w:rPr>
            </w:pPr>
            <w:r>
              <w:rPr>
                <w:rFonts w:hint="eastAsia"/>
                <w:sz w:val="24"/>
                <w:lang w:val="en-US" w:eastAsia="zh-CN"/>
              </w:rPr>
              <w:t>批发业（F51）、零售业（F52）、商务服务业（L72）、制造业（C）</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5B5074D0">
            <w:pPr>
              <w:snapToGrid w:val="0"/>
              <w:contextualSpacing/>
              <w:rPr>
                <w:rFonts w:hint="eastAsia"/>
                <w:sz w:val="24"/>
                <w:lang w:val="en-US" w:eastAsia="zh-CN"/>
              </w:rPr>
            </w:pPr>
            <w:r>
              <w:rPr>
                <w:rFonts w:hint="eastAsia"/>
                <w:sz w:val="24"/>
                <w:lang w:val="en-US" w:eastAsia="zh-CN"/>
              </w:rPr>
              <w:t>主要职业类别（代码）</w:t>
            </w:r>
          </w:p>
        </w:tc>
        <w:tc>
          <w:tcPr>
            <w:tcW w:w="5848" w:type="dxa"/>
            <w:vAlign w:val="center"/>
          </w:tcPr>
          <w:p w14:paraId="44DD33A3">
            <w:pPr>
              <w:snapToGrid w:val="0"/>
              <w:contextualSpacing/>
              <w:rPr>
                <w:rFonts w:hint="eastAsia"/>
                <w:sz w:val="24"/>
                <w:lang w:val="en-US" w:eastAsia="zh-CN"/>
              </w:rPr>
            </w:pPr>
            <w:r>
              <w:rPr>
                <w:rFonts w:hint="eastAsia"/>
                <w:sz w:val="24"/>
                <w:lang w:val="en-US" w:eastAsia="zh-CN"/>
              </w:rPr>
              <w:t>市场营销专业人员（2-06-07-02）、客户服务管理员（4-07-02-03）、</w:t>
            </w:r>
          </w:p>
          <w:p w14:paraId="77A69E9A">
            <w:pPr>
              <w:snapToGrid w:val="0"/>
              <w:contextualSpacing/>
              <w:rPr>
                <w:rFonts w:hint="eastAsia"/>
                <w:sz w:val="24"/>
                <w:lang w:val="en-US" w:eastAsia="zh-CN"/>
              </w:rPr>
            </w:pPr>
            <w:r>
              <w:rPr>
                <w:rFonts w:hint="eastAsia"/>
                <w:sz w:val="24"/>
                <w:lang w:val="en-US" w:eastAsia="zh-CN"/>
              </w:rPr>
              <w:t>互联网营销师 S（4-01-06-02）、品牌专业人员（2-06-07-04）</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153" w:type="dxa"/>
            <w:vAlign w:val="center"/>
          </w:tcPr>
          <w:p w14:paraId="0133C974">
            <w:pPr>
              <w:snapToGrid w:val="0"/>
              <w:contextualSpacing/>
              <w:rPr>
                <w:sz w:val="24"/>
              </w:rPr>
            </w:pPr>
            <w:r>
              <w:rPr>
                <w:sz w:val="24"/>
              </w:rPr>
              <w:t>主要岗位（群）或技术领域</w:t>
            </w:r>
          </w:p>
        </w:tc>
        <w:tc>
          <w:tcPr>
            <w:tcW w:w="5848" w:type="dxa"/>
            <w:shd w:val="clear" w:color="auto" w:fill="auto"/>
            <w:vAlign w:val="top"/>
          </w:tcPr>
          <w:p w14:paraId="682756B3">
            <w:pPr>
              <w:snapToGrid w:val="0"/>
              <w:contextualSpacing/>
              <w:rPr>
                <w:rFonts w:hint="eastAsia"/>
                <w:sz w:val="24"/>
                <w:lang w:val="en-US" w:eastAsia="en-US"/>
              </w:rPr>
            </w:pPr>
            <w:r>
              <w:rPr>
                <w:rFonts w:hint="eastAsia"/>
                <w:sz w:val="24"/>
                <w:lang w:val="en-US" w:eastAsia="zh-CN"/>
              </w:rPr>
              <w:t>市场策划主管、市场推广主管、销售业务主管、客户服务主管……</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153" w:type="dxa"/>
            <w:vAlign w:val="center"/>
          </w:tcPr>
          <w:p w14:paraId="299575DC">
            <w:pPr>
              <w:snapToGrid w:val="0"/>
              <w:contextualSpacing/>
              <w:rPr>
                <w:sz w:val="24"/>
              </w:rPr>
            </w:pPr>
            <w:r>
              <w:rPr>
                <w:sz w:val="24"/>
              </w:rPr>
              <w:t>职业类证书</w:t>
            </w:r>
          </w:p>
        </w:tc>
        <w:tc>
          <w:tcPr>
            <w:tcW w:w="5848" w:type="dxa"/>
            <w:vAlign w:val="center"/>
          </w:tcPr>
          <w:p w14:paraId="69C91A8D">
            <w:pPr>
              <w:snapToGrid w:val="0"/>
              <w:contextualSpacing/>
              <w:rPr>
                <w:rFonts w:hint="eastAsia"/>
                <w:sz w:val="24"/>
                <w:lang w:val="en-US" w:eastAsia="zh-CN"/>
              </w:rPr>
            </w:pPr>
            <w:r>
              <w:rPr>
                <w:rFonts w:hint="eastAsia"/>
                <w:sz w:val="24"/>
                <w:lang w:val="en-US" w:eastAsia="zh-CN"/>
              </w:rPr>
              <w:t>经济专业技术资格、数字营销技术应用、新媒体营销、网店运营</w:t>
            </w:r>
          </w:p>
          <w:p w14:paraId="4B484C0B">
            <w:pPr>
              <w:snapToGrid w:val="0"/>
              <w:contextualSpacing/>
              <w:rPr>
                <w:rFonts w:hint="eastAsia"/>
                <w:sz w:val="24"/>
                <w:lang w:val="en-US" w:eastAsia="zh-CN"/>
              </w:rPr>
            </w:pPr>
            <w:r>
              <w:rPr>
                <w:rFonts w:hint="eastAsia"/>
                <w:sz w:val="24"/>
                <w:lang w:val="en-US" w:eastAsia="zh-CN"/>
              </w:rPr>
              <w:t>推广、跨境电商 B2B 数据运营、呼叫中心客户服务与管理……</w:t>
            </w:r>
          </w:p>
        </w:tc>
      </w:tr>
    </w:tbl>
    <w:p w14:paraId="5D1B5EC9">
      <w:pPr>
        <w:pStyle w:val="3"/>
        <w:spacing w:line="360" w:lineRule="auto"/>
      </w:pPr>
      <w:bookmarkStart w:id="7" w:name="_Toc197702691"/>
      <w:r>
        <w:t>培养目</w:t>
      </w:r>
      <w:r>
        <w:rPr>
          <w:rFonts w:hint="eastAsia"/>
          <w:lang w:val="en-US" w:eastAsia="zh-CN"/>
        </w:rPr>
        <w:t>标</w:t>
      </w:r>
    </w:p>
    <w:bookmarkEnd w:id="7"/>
    <w:p w14:paraId="64701ED1">
      <w:pPr>
        <w:snapToGrid w:val="0"/>
        <w:spacing w:line="360" w:lineRule="auto"/>
        <w:ind w:firstLine="480" w:firstLineChars="200"/>
        <w:contextualSpacing/>
        <w:rPr>
          <w:rFonts w:hint="eastAsia"/>
          <w:sz w:val="24"/>
        </w:rPr>
      </w:pPr>
      <w:r>
        <w:rPr>
          <w:rFonts w:hint="eastAsia"/>
          <w:sz w:val="24"/>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批发业、零售业、商务服务业、制造业等行业的市场营销专业人员、客户服务管理员、互联网营销师、品牌专业人员等职业，能够从事市场调研、项目销售、数字营销、品牌策划与推广、智能客户服务等工作的高技能人才。</w:t>
      </w:r>
    </w:p>
    <w:p w14:paraId="5876028F"/>
    <w:p w14:paraId="3029AB92">
      <w:pPr>
        <w:pStyle w:val="3"/>
        <w:spacing w:line="360" w:lineRule="auto"/>
      </w:pPr>
      <w:bookmarkStart w:id="8" w:name="_Toc197702692"/>
      <w:r>
        <w:t>培养</w:t>
      </w:r>
      <w:r>
        <w:rPr>
          <w:rFonts w:hint="eastAsia"/>
        </w:rPr>
        <w:t>规格</w:t>
      </w:r>
    </w:p>
    <w:p w14:paraId="323158A0">
      <w:pPr>
        <w:snapToGrid w:val="0"/>
        <w:spacing w:line="360" w:lineRule="auto"/>
        <w:ind w:firstLine="480" w:firstLineChars="200"/>
        <w:contextualSpacing/>
        <w:rPr>
          <w:rFonts w:hint="eastAsia"/>
          <w:sz w:val="24"/>
        </w:rPr>
      </w:pPr>
      <w:r>
        <w:rPr>
          <w:rFonts w:hint="eastAsia"/>
          <w:sz w:val="24"/>
        </w:rPr>
        <w:t>本专业学生应在系统学习本专业知识并完成有关实习实训基础上，全面提升知识、能力、素养，掌握并实际运用岗位（群）需要的专业核心技术技能，实现德智体美劳全面发展，总体上须达到以下要求：</w:t>
      </w:r>
    </w:p>
    <w:p w14:paraId="050898A2">
      <w:pPr>
        <w:snapToGrid w:val="0"/>
        <w:spacing w:line="360" w:lineRule="auto"/>
        <w:ind w:firstLine="480" w:firstLineChars="200"/>
        <w:contextualSpacing/>
        <w:rPr>
          <w:rFonts w:hint="eastAsia"/>
          <w:sz w:val="24"/>
        </w:rPr>
      </w:pPr>
      <w:r>
        <w:rPr>
          <w:rFonts w:hint="eastAsia"/>
          <w:sz w:val="24"/>
        </w:rPr>
        <w:t>（1）坚定拥护中国共产党领导和中国特色社会主义制度，以习近平新时代中国特色社会主义思想为指导，践行社会主义核心价值观，具有坚定的理想信念、深厚的爱国情感和中华民族自豪感；</w:t>
      </w:r>
    </w:p>
    <w:p w14:paraId="2E752199">
      <w:pPr>
        <w:snapToGrid w:val="0"/>
        <w:spacing w:line="360" w:lineRule="auto"/>
        <w:ind w:firstLine="480" w:firstLineChars="200"/>
        <w:contextualSpacing/>
        <w:rPr>
          <w:rFonts w:hint="eastAsia"/>
          <w:sz w:val="24"/>
        </w:rPr>
      </w:pPr>
      <w:r>
        <w:rPr>
          <w:rFonts w:hint="eastAsia"/>
          <w:sz w:val="24"/>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7D5EDD7D">
      <w:pPr>
        <w:snapToGrid w:val="0"/>
        <w:spacing w:line="360" w:lineRule="auto"/>
        <w:ind w:firstLine="480" w:firstLineChars="200"/>
        <w:contextualSpacing/>
        <w:rPr>
          <w:rFonts w:hint="eastAsia"/>
          <w:sz w:val="24"/>
        </w:rPr>
      </w:pPr>
      <w:r>
        <w:rPr>
          <w:rFonts w:hint="eastAsia"/>
          <w:sz w:val="24"/>
        </w:rPr>
        <w:t>（3）掌握支撑本专业学习和可持续发展必备的语文、数学、外语（英语等）、信息技术等文化基础知识，具有良好的人文素养与科学素养，具备职业生涯规划能力；</w:t>
      </w:r>
    </w:p>
    <w:p w14:paraId="58180697">
      <w:pPr>
        <w:snapToGrid w:val="0"/>
        <w:spacing w:line="360" w:lineRule="auto"/>
        <w:ind w:firstLine="480" w:firstLineChars="200"/>
        <w:contextualSpacing/>
        <w:rPr>
          <w:rFonts w:hint="eastAsia"/>
          <w:sz w:val="24"/>
        </w:rPr>
      </w:pPr>
      <w:r>
        <w:rPr>
          <w:rFonts w:hint="eastAsia"/>
          <w:sz w:val="24"/>
        </w:rPr>
        <w:t>（4）具有良好的语言表达能力、文字表达能力、沟通合作能力，具有较强的集体意识和团队合作意识，学习 1 门外语并结合本专业加以运用；</w:t>
      </w:r>
    </w:p>
    <w:p w14:paraId="28CD9DC9">
      <w:pPr>
        <w:snapToGrid w:val="0"/>
        <w:spacing w:line="360" w:lineRule="auto"/>
        <w:ind w:firstLine="480" w:firstLineChars="200"/>
        <w:contextualSpacing/>
        <w:rPr>
          <w:rFonts w:hint="eastAsia"/>
          <w:sz w:val="24"/>
        </w:rPr>
      </w:pPr>
      <w:r>
        <w:rPr>
          <w:rFonts w:hint="eastAsia"/>
          <w:sz w:val="24"/>
        </w:rPr>
        <w:t>（5）掌握经济管理、市场营销、财务管理等方面的专业基础理论知识；</w:t>
      </w:r>
    </w:p>
    <w:p w14:paraId="6245C78C">
      <w:pPr>
        <w:snapToGrid w:val="0"/>
        <w:spacing w:line="360" w:lineRule="auto"/>
        <w:ind w:firstLine="480" w:firstLineChars="200"/>
        <w:contextualSpacing/>
        <w:rPr>
          <w:rFonts w:hint="eastAsia"/>
          <w:sz w:val="24"/>
        </w:rPr>
      </w:pPr>
      <w:r>
        <w:rPr>
          <w:rFonts w:hint="eastAsia"/>
          <w:sz w:val="24"/>
        </w:rPr>
        <w:t>（6）掌握数字营销策划、数字广告营销、数字互动营销、数字营销效果分析和优化等技术技能，具有数字营销能力；</w:t>
      </w:r>
    </w:p>
    <w:p w14:paraId="0E06A6E2">
      <w:pPr>
        <w:snapToGrid w:val="0"/>
        <w:spacing w:line="360" w:lineRule="auto"/>
        <w:ind w:firstLine="480" w:firstLineChars="200"/>
        <w:contextualSpacing/>
        <w:rPr>
          <w:rFonts w:hint="eastAsia"/>
          <w:sz w:val="24"/>
        </w:rPr>
      </w:pPr>
      <w:r>
        <w:rPr>
          <w:rFonts w:hint="eastAsia"/>
          <w:sz w:val="24"/>
        </w:rPr>
        <w:t>（7）掌握竞争调研、行业调研、用户调研、产品调研、用户行为分析等技术技能，具有消费者行为分析能力；</w:t>
      </w:r>
    </w:p>
    <w:p w14:paraId="4EAE2416">
      <w:pPr>
        <w:snapToGrid w:val="0"/>
        <w:spacing w:line="360" w:lineRule="auto"/>
        <w:ind w:firstLine="480" w:firstLineChars="200"/>
        <w:contextualSpacing/>
        <w:rPr>
          <w:rFonts w:hint="eastAsia"/>
          <w:sz w:val="24"/>
        </w:rPr>
      </w:pPr>
      <w:r>
        <w:rPr>
          <w:rFonts w:hint="eastAsia"/>
          <w:sz w:val="24"/>
        </w:rPr>
        <w:t>（8）掌握客户拜访、产品方案设计与演示、商务洽谈、项目招投标、销售管理等技术技能，具有项目销售能力；</w:t>
      </w:r>
    </w:p>
    <w:p w14:paraId="2E291046">
      <w:pPr>
        <w:snapToGrid w:val="0"/>
        <w:spacing w:line="360" w:lineRule="auto"/>
        <w:ind w:firstLine="480" w:firstLineChars="200"/>
        <w:contextualSpacing/>
        <w:rPr>
          <w:rFonts w:hint="eastAsia"/>
          <w:sz w:val="24"/>
        </w:rPr>
      </w:pPr>
      <w:r>
        <w:rPr>
          <w:rFonts w:hint="eastAsia"/>
          <w:sz w:val="24"/>
        </w:rPr>
        <w:t>（9）掌握品牌调研与分析、品牌定位与设计、品牌传播与推广等技术技能，具有品牌策划与推广能力；</w:t>
      </w:r>
    </w:p>
    <w:p w14:paraId="5DD28DD6">
      <w:pPr>
        <w:snapToGrid w:val="0"/>
        <w:spacing w:line="360" w:lineRule="auto"/>
        <w:ind w:firstLine="480" w:firstLineChars="200"/>
        <w:contextualSpacing/>
        <w:rPr>
          <w:rFonts w:hint="eastAsia"/>
          <w:sz w:val="24"/>
        </w:rPr>
      </w:pPr>
      <w:r>
        <w:rPr>
          <w:rFonts w:hint="eastAsia"/>
          <w:sz w:val="24"/>
        </w:rPr>
        <w:t>（10）掌握售前售中售后服务管理体系建设、客服团队组建、客户投诉监控、危机事件处理、智能客服应用场景设计及开发等技术技能，具有智能客户服务能力；</w:t>
      </w:r>
    </w:p>
    <w:p w14:paraId="33B93EBF">
      <w:pPr>
        <w:snapToGrid w:val="0"/>
        <w:spacing w:line="360" w:lineRule="auto"/>
        <w:ind w:firstLine="480" w:firstLineChars="200"/>
        <w:contextualSpacing/>
        <w:rPr>
          <w:rFonts w:hint="eastAsia"/>
          <w:sz w:val="24"/>
        </w:rPr>
      </w:pPr>
      <w:r>
        <w:rPr>
          <w:rFonts w:hint="eastAsia"/>
          <w:sz w:val="24"/>
        </w:rPr>
        <w:t>（11）掌握商务数据收集、处理、分析、可视化等技术技能，具有商务数据分析能力；</w:t>
      </w:r>
    </w:p>
    <w:p w14:paraId="136A4DAD">
      <w:pPr>
        <w:snapToGrid w:val="0"/>
        <w:spacing w:line="360" w:lineRule="auto"/>
        <w:ind w:firstLine="480" w:firstLineChars="200"/>
        <w:contextualSpacing/>
        <w:rPr>
          <w:rFonts w:hint="eastAsia"/>
          <w:sz w:val="24"/>
        </w:rPr>
      </w:pPr>
      <w:r>
        <w:rPr>
          <w:rFonts w:hint="eastAsia"/>
          <w:sz w:val="24"/>
        </w:rPr>
        <w:t>（12）掌握信息技术基础知识，具有适应本领域数字化和智能化发展需求的数字技能；</w:t>
      </w:r>
    </w:p>
    <w:p w14:paraId="236B17F6">
      <w:pPr>
        <w:snapToGrid w:val="0"/>
        <w:spacing w:line="360" w:lineRule="auto"/>
        <w:ind w:firstLine="480" w:firstLineChars="200"/>
        <w:contextualSpacing/>
        <w:rPr>
          <w:rFonts w:hint="eastAsia"/>
          <w:sz w:val="24"/>
        </w:rPr>
      </w:pPr>
      <w:r>
        <w:rPr>
          <w:rFonts w:hint="eastAsia"/>
          <w:sz w:val="24"/>
        </w:rPr>
        <w:t>（13）具有探究学习、终身学习和可持续发展的能力，具有整合知识和综合运用知识分析问题和解决问题的能力；</w:t>
      </w:r>
    </w:p>
    <w:p w14:paraId="6E6934C3">
      <w:pPr>
        <w:snapToGrid w:val="0"/>
        <w:spacing w:line="360" w:lineRule="auto"/>
        <w:ind w:firstLine="480" w:firstLineChars="200"/>
        <w:contextualSpacing/>
        <w:rPr>
          <w:rFonts w:hint="eastAsia"/>
          <w:sz w:val="24"/>
        </w:rPr>
      </w:pPr>
      <w:r>
        <w:rPr>
          <w:rFonts w:hint="eastAsia"/>
          <w:sz w:val="24"/>
        </w:rPr>
        <w:t>（14）掌握身体运动的基本知识和至少 1 项体育运动技能，达到国家大学生体质健康测试合格标准，养成良好的运动习惯、卫生习惯和行为习惯；具备一定的心理调适能力；</w:t>
      </w:r>
    </w:p>
    <w:p w14:paraId="3FBBD5A6">
      <w:pPr>
        <w:snapToGrid w:val="0"/>
        <w:spacing w:line="360" w:lineRule="auto"/>
        <w:ind w:firstLine="480" w:firstLineChars="200"/>
        <w:contextualSpacing/>
        <w:rPr>
          <w:rFonts w:hint="eastAsia"/>
          <w:sz w:val="24"/>
        </w:rPr>
      </w:pPr>
      <w:r>
        <w:rPr>
          <w:rFonts w:hint="eastAsia"/>
          <w:sz w:val="24"/>
        </w:rPr>
        <w:t>（15）掌握必备的美育知识，具有一定的文化修养、审美能力，形成至少 1 项艺术特长或爱好；</w:t>
      </w:r>
    </w:p>
    <w:p w14:paraId="24C4DA75">
      <w:pPr>
        <w:snapToGrid w:val="0"/>
        <w:spacing w:line="360" w:lineRule="auto"/>
        <w:ind w:firstLine="480" w:firstLineChars="200"/>
        <w:contextualSpacing/>
        <w:rPr>
          <w:rFonts w:hint="eastAsia"/>
          <w:sz w:val="24"/>
        </w:rPr>
      </w:pPr>
      <w:r>
        <w:rPr>
          <w:rFonts w:hint="eastAsia"/>
          <w:sz w:val="24"/>
        </w:rPr>
        <w:t>（16）树立正确的劳动观，尊重劳动，热爱劳动，具备与本专业职业发展相适应的劳动素养，弘扬劳模精神、劳动精神、工匠精神，弘扬劳动光荣、技能宝贵、创造伟大的时代风尚。</w:t>
      </w:r>
    </w:p>
    <w:p w14:paraId="52103E38">
      <w:pPr>
        <w:pStyle w:val="3"/>
        <w:numPr>
          <w:ilvl w:val="0"/>
          <w:numId w:val="0"/>
        </w:numPr>
        <w:spacing w:line="360" w:lineRule="auto"/>
        <w:ind w:leftChars="-3"/>
        <w:rPr>
          <w:rFonts w:hint="eastAsia"/>
          <w:vanish/>
          <w:color w:val="FF0000"/>
        </w:rPr>
      </w:pPr>
      <w:r>
        <w:rPr>
          <w:rFonts w:hint="eastAsia"/>
          <w:vanish/>
          <w:color w:val="FF0000"/>
        </w:rPr>
        <w:t>本专业学生应在系统学习本专业知识并完成有关实习实训基础上，全面提升知识、能力、素养，掌握并实际运用岗位（群）需要的专业核心技术技能，实现德智体美劳全面发展，总体上须达到以下要求：</w:t>
      </w:r>
    </w:p>
    <w:p w14:paraId="0B92D37F">
      <w:pPr>
        <w:pStyle w:val="3"/>
        <w:numPr>
          <w:ilvl w:val="0"/>
          <w:numId w:val="0"/>
        </w:numPr>
        <w:spacing w:line="360" w:lineRule="auto"/>
        <w:ind w:leftChars="-3"/>
        <w:rPr>
          <w:rFonts w:hint="eastAsia"/>
          <w:vanish/>
          <w:color w:val="FF0000"/>
        </w:rPr>
      </w:pPr>
      <w:r>
        <w:rPr>
          <w:rFonts w:hint="eastAsia"/>
          <w:vanish/>
          <w:color w:val="FF0000"/>
        </w:rPr>
        <w:t>（1）坚定拥护中国共产党领导和中国特色社会主义制度，以习近平新时代中国特色社会主义思想为指导，践行社会主义核心价值观，具有坚定的理想信念、深厚的爱国情感和中华民族自豪感；</w:t>
      </w:r>
    </w:p>
    <w:p w14:paraId="197CD1F3">
      <w:pPr>
        <w:pStyle w:val="3"/>
        <w:numPr>
          <w:ilvl w:val="0"/>
          <w:numId w:val="0"/>
        </w:numPr>
        <w:spacing w:line="360" w:lineRule="auto"/>
        <w:ind w:leftChars="-3"/>
        <w:rPr>
          <w:rFonts w:hint="eastAsia"/>
          <w:vanish/>
          <w:color w:val="FF0000"/>
        </w:rPr>
      </w:pPr>
      <w:r>
        <w:rPr>
          <w:rFonts w:hint="eastAsia"/>
          <w:vanish/>
          <w:color w:val="FF0000"/>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31436DDE">
      <w:pPr>
        <w:pStyle w:val="3"/>
        <w:numPr>
          <w:ilvl w:val="0"/>
          <w:numId w:val="0"/>
        </w:numPr>
        <w:spacing w:line="360" w:lineRule="auto"/>
        <w:ind w:leftChars="-3"/>
        <w:rPr>
          <w:rFonts w:hint="eastAsia"/>
          <w:vanish/>
          <w:color w:val="FF0000"/>
        </w:rPr>
      </w:pPr>
      <w:r>
        <w:rPr>
          <w:rFonts w:hint="eastAsia"/>
          <w:vanish/>
          <w:color w:val="FF0000"/>
        </w:rPr>
        <w:t>（3）掌握支撑本专业学习和可持续发展必备的语文、数学、外语（英语等）、信息技术等文化基础知识，具有良好的人文素养与科学素养，具备职业生涯规划能力；</w:t>
      </w:r>
    </w:p>
    <w:p w14:paraId="5609D173">
      <w:pPr>
        <w:pStyle w:val="3"/>
        <w:numPr>
          <w:ilvl w:val="0"/>
          <w:numId w:val="0"/>
        </w:numPr>
        <w:spacing w:line="360" w:lineRule="auto"/>
        <w:ind w:leftChars="-3"/>
        <w:rPr>
          <w:rFonts w:hint="eastAsia"/>
          <w:vanish/>
          <w:color w:val="FF0000"/>
        </w:rPr>
      </w:pPr>
      <w:r>
        <w:rPr>
          <w:rFonts w:hint="eastAsia"/>
          <w:vanish/>
          <w:color w:val="FF0000"/>
        </w:rPr>
        <w:t>（4）具有良好的语言表达能力、文字表达能力、沟通合作能力，具有较强的集体意识和团队合作意识，学习 1 门外语并结合本专业加以运用；</w:t>
      </w:r>
    </w:p>
    <w:p w14:paraId="275C6178">
      <w:pPr>
        <w:pStyle w:val="3"/>
        <w:numPr>
          <w:ilvl w:val="0"/>
          <w:numId w:val="0"/>
        </w:numPr>
        <w:spacing w:line="360" w:lineRule="auto"/>
        <w:ind w:leftChars="-3"/>
        <w:rPr>
          <w:rFonts w:hint="eastAsia"/>
          <w:vanish/>
          <w:color w:val="FF0000"/>
        </w:rPr>
      </w:pPr>
      <w:r>
        <w:rPr>
          <w:rFonts w:hint="eastAsia"/>
          <w:vanish/>
          <w:color w:val="FF0000"/>
        </w:rPr>
        <w:t>（5）掌握经济管理、市场营销、财务管理等方面的专业基础理论知识；</w:t>
      </w:r>
    </w:p>
    <w:p w14:paraId="4AD57F75">
      <w:pPr>
        <w:pStyle w:val="3"/>
        <w:numPr>
          <w:ilvl w:val="0"/>
          <w:numId w:val="0"/>
        </w:numPr>
        <w:spacing w:line="360" w:lineRule="auto"/>
        <w:ind w:leftChars="-3"/>
        <w:rPr>
          <w:rFonts w:hint="eastAsia"/>
          <w:vanish/>
          <w:color w:val="FF0000"/>
        </w:rPr>
      </w:pPr>
      <w:r>
        <w:rPr>
          <w:rFonts w:hint="eastAsia"/>
          <w:vanish/>
          <w:color w:val="FF0000"/>
        </w:rPr>
        <w:t>（6）掌握数字营销策划、数字广告营销、数字互动营销、数字营销效果分析和优化等技术技能，具有数字营销能力；</w:t>
      </w:r>
    </w:p>
    <w:p w14:paraId="4C20DEA4">
      <w:pPr>
        <w:pStyle w:val="3"/>
        <w:numPr>
          <w:ilvl w:val="0"/>
          <w:numId w:val="0"/>
        </w:numPr>
        <w:spacing w:line="360" w:lineRule="auto"/>
        <w:ind w:leftChars="-3"/>
        <w:rPr>
          <w:rFonts w:hint="eastAsia"/>
          <w:vanish/>
          <w:color w:val="FF0000"/>
        </w:rPr>
      </w:pPr>
      <w:r>
        <w:rPr>
          <w:rFonts w:hint="eastAsia"/>
          <w:vanish/>
          <w:color w:val="FF0000"/>
        </w:rPr>
        <w:t>（7）掌握竞争调研、行业调研、用户调研、产品调研、用户行为分析等技术技能，具有消费者行为分析能力；</w:t>
      </w:r>
    </w:p>
    <w:p w14:paraId="4BE3733D">
      <w:pPr>
        <w:pStyle w:val="3"/>
        <w:numPr>
          <w:ilvl w:val="0"/>
          <w:numId w:val="0"/>
        </w:numPr>
        <w:spacing w:line="360" w:lineRule="auto"/>
        <w:ind w:leftChars="-3"/>
        <w:rPr>
          <w:rFonts w:hint="eastAsia"/>
          <w:vanish/>
          <w:color w:val="FF0000"/>
        </w:rPr>
      </w:pPr>
      <w:r>
        <w:rPr>
          <w:rFonts w:hint="eastAsia"/>
          <w:vanish/>
          <w:color w:val="FF0000"/>
        </w:rPr>
        <w:t>（8）掌握客户拜访、产品方案设计与演示、商务洽谈、项目招投标、销售管理等技术技能，具有项目销售能力；</w:t>
      </w:r>
    </w:p>
    <w:p w14:paraId="37A7F632">
      <w:pPr>
        <w:pStyle w:val="3"/>
        <w:numPr>
          <w:ilvl w:val="0"/>
          <w:numId w:val="0"/>
        </w:numPr>
        <w:spacing w:line="360" w:lineRule="auto"/>
        <w:ind w:leftChars="-3"/>
        <w:rPr>
          <w:rFonts w:hint="eastAsia"/>
          <w:vanish/>
          <w:color w:val="FF0000"/>
        </w:rPr>
      </w:pPr>
      <w:r>
        <w:rPr>
          <w:rFonts w:hint="eastAsia"/>
          <w:vanish/>
          <w:color w:val="FF0000"/>
        </w:rPr>
        <w:t>（9）掌握品牌调研与分析、品牌定位与设计、品牌传播与推广等技术技能，具有品牌策划与推广能力；</w:t>
      </w:r>
    </w:p>
    <w:p w14:paraId="1BA85B9D">
      <w:pPr>
        <w:pStyle w:val="3"/>
        <w:numPr>
          <w:ilvl w:val="0"/>
          <w:numId w:val="0"/>
        </w:numPr>
        <w:spacing w:line="360" w:lineRule="auto"/>
        <w:ind w:leftChars="-3"/>
        <w:rPr>
          <w:rFonts w:hint="eastAsia"/>
          <w:vanish/>
          <w:color w:val="FF0000"/>
        </w:rPr>
      </w:pPr>
      <w:r>
        <w:rPr>
          <w:rFonts w:hint="eastAsia"/>
          <w:vanish/>
          <w:color w:val="FF0000"/>
        </w:rPr>
        <w:t>（10）掌握售前售中售后服务管理体系建设、客服团队组建、客户投诉监控、危机事件处理、智能客服应用场景设计及开发等技术技能，具有智能客户服务能力；</w:t>
      </w:r>
    </w:p>
    <w:p w14:paraId="26B74B01">
      <w:pPr>
        <w:pStyle w:val="3"/>
        <w:numPr>
          <w:ilvl w:val="0"/>
          <w:numId w:val="0"/>
        </w:numPr>
        <w:spacing w:line="360" w:lineRule="auto"/>
        <w:ind w:leftChars="-3"/>
        <w:rPr>
          <w:rFonts w:hint="eastAsia"/>
          <w:vanish/>
          <w:color w:val="FF0000"/>
        </w:rPr>
      </w:pPr>
      <w:r>
        <w:rPr>
          <w:rFonts w:hint="eastAsia"/>
          <w:vanish/>
          <w:color w:val="FF0000"/>
        </w:rPr>
        <w:t>（11）掌握商务数据收集、处理、分析、可视化等技术技能，具有商务数据分析能力；</w:t>
      </w:r>
    </w:p>
    <w:p w14:paraId="3C7A55F4">
      <w:pPr>
        <w:pStyle w:val="3"/>
        <w:numPr>
          <w:ilvl w:val="0"/>
          <w:numId w:val="0"/>
        </w:numPr>
        <w:spacing w:line="360" w:lineRule="auto"/>
        <w:ind w:leftChars="-3"/>
        <w:rPr>
          <w:rFonts w:hint="eastAsia"/>
          <w:vanish/>
          <w:color w:val="FF0000"/>
        </w:rPr>
      </w:pPr>
      <w:r>
        <w:rPr>
          <w:rFonts w:hint="eastAsia"/>
          <w:vanish/>
          <w:color w:val="FF0000"/>
        </w:rPr>
        <w:t>（12）掌握信息技术基础知识，具有适应本领域数字化和智能化发展需求的数字技能；</w:t>
      </w:r>
    </w:p>
    <w:p w14:paraId="7B95453D">
      <w:pPr>
        <w:pStyle w:val="3"/>
        <w:numPr>
          <w:ilvl w:val="0"/>
          <w:numId w:val="0"/>
        </w:numPr>
        <w:spacing w:line="360" w:lineRule="auto"/>
        <w:ind w:leftChars="-3"/>
        <w:rPr>
          <w:rFonts w:hint="eastAsia"/>
          <w:vanish/>
          <w:color w:val="FF0000"/>
        </w:rPr>
      </w:pPr>
      <w:r>
        <w:rPr>
          <w:rFonts w:hint="eastAsia"/>
          <w:vanish/>
          <w:color w:val="FF0000"/>
        </w:rPr>
        <w:t>（13）具有探究学习、终身学习和可持续发展的能力，具有整合知识和综合运用知识分析问题和解决问题的能力；</w:t>
      </w:r>
    </w:p>
    <w:p w14:paraId="2EF0CAF4">
      <w:pPr>
        <w:pStyle w:val="3"/>
        <w:numPr>
          <w:ilvl w:val="0"/>
          <w:numId w:val="0"/>
        </w:numPr>
        <w:spacing w:line="360" w:lineRule="auto"/>
        <w:ind w:leftChars="-3"/>
        <w:rPr>
          <w:rFonts w:hint="eastAsia"/>
          <w:vanish/>
          <w:color w:val="FF0000"/>
        </w:rPr>
      </w:pPr>
      <w:r>
        <w:rPr>
          <w:rFonts w:hint="eastAsia"/>
          <w:vanish/>
          <w:color w:val="FF0000"/>
        </w:rPr>
        <w:t>（14）掌握身体运动的基本知识和至少 1 项体育运动技能，达到国家大学生体质健康测试合格标准，养成良好的运动习惯、卫生习惯和行为习惯；具备一定的心理调适能力；</w:t>
      </w:r>
    </w:p>
    <w:p w14:paraId="25003FD6">
      <w:pPr>
        <w:pStyle w:val="3"/>
        <w:numPr>
          <w:ilvl w:val="0"/>
          <w:numId w:val="0"/>
        </w:numPr>
        <w:spacing w:line="360" w:lineRule="auto"/>
        <w:ind w:leftChars="-3"/>
        <w:rPr>
          <w:rFonts w:hint="eastAsia"/>
          <w:vanish/>
          <w:color w:val="FF0000"/>
        </w:rPr>
      </w:pPr>
      <w:r>
        <w:rPr>
          <w:rFonts w:hint="eastAsia"/>
          <w:vanish/>
          <w:color w:val="FF0000"/>
        </w:rPr>
        <w:t>（15）掌握必备的美育知识，具有一定的文化修养、审美能力，形成至少 1 项艺术特长或爱好；</w:t>
      </w:r>
    </w:p>
    <w:p w14:paraId="0D24129F">
      <w:pPr>
        <w:pStyle w:val="3"/>
        <w:numPr>
          <w:ilvl w:val="0"/>
          <w:numId w:val="0"/>
        </w:numPr>
        <w:spacing w:line="360" w:lineRule="auto"/>
        <w:ind w:leftChars="-3"/>
        <w:rPr>
          <w:rFonts w:hint="eastAsia"/>
          <w:vanish/>
          <w:color w:val="FF0000"/>
        </w:rPr>
      </w:pPr>
      <w:r>
        <w:rPr>
          <w:rFonts w:hint="eastAsia"/>
          <w:vanish/>
          <w:color w:val="FF0000"/>
        </w:rPr>
        <w:t>（16）树立正确的劳动观，尊重劳动，热爱劳动，具备与本专业职业发展相适应的劳动素养，弘扬劳模精神、劳动精神、工匠精神，弘扬劳动光荣、技能宝贵、创造伟大的时代风尚。本专业学生应在系统学习本专业知识并完成有关实习实训基础上，全面提升知识、能力、素养，掌握并实际运用岗位（群）需要的专业核心技术技能，实现德智体美劳全面发展，总体上须达到以下要求：</w:t>
      </w:r>
    </w:p>
    <w:p w14:paraId="0218D89B">
      <w:pPr>
        <w:pStyle w:val="3"/>
        <w:numPr>
          <w:ilvl w:val="0"/>
          <w:numId w:val="0"/>
        </w:numPr>
        <w:spacing w:line="360" w:lineRule="auto"/>
        <w:ind w:leftChars="-3"/>
        <w:rPr>
          <w:rFonts w:hint="eastAsia"/>
          <w:vanish/>
          <w:color w:val="FF0000"/>
        </w:rPr>
      </w:pPr>
      <w:r>
        <w:rPr>
          <w:rFonts w:hint="eastAsia"/>
          <w:vanish/>
          <w:color w:val="FF0000"/>
        </w:rPr>
        <w:t>（1）坚定拥护中国共产党领导和中国特色社会主义制度，以习近平新时代中国特色社会主义思想为指导，践行社会主义核心价值观，具有坚定的理想信念、深厚的爱国情感和中华民族自豪感；</w:t>
      </w:r>
    </w:p>
    <w:p w14:paraId="20154DC0">
      <w:pPr>
        <w:pStyle w:val="3"/>
        <w:numPr>
          <w:ilvl w:val="0"/>
          <w:numId w:val="0"/>
        </w:numPr>
        <w:spacing w:line="360" w:lineRule="auto"/>
        <w:ind w:leftChars="-3"/>
        <w:rPr>
          <w:rFonts w:hint="eastAsia"/>
          <w:vanish/>
          <w:color w:val="FF0000"/>
        </w:rPr>
      </w:pPr>
      <w:r>
        <w:rPr>
          <w:rFonts w:hint="eastAsia"/>
          <w:vanish/>
          <w:color w:val="FF0000"/>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36754938">
      <w:pPr>
        <w:pStyle w:val="3"/>
        <w:numPr>
          <w:ilvl w:val="0"/>
          <w:numId w:val="0"/>
        </w:numPr>
        <w:spacing w:line="360" w:lineRule="auto"/>
        <w:ind w:leftChars="-3"/>
        <w:rPr>
          <w:rFonts w:hint="eastAsia"/>
          <w:vanish/>
          <w:color w:val="FF0000"/>
        </w:rPr>
      </w:pPr>
      <w:r>
        <w:rPr>
          <w:rFonts w:hint="eastAsia"/>
          <w:vanish/>
          <w:color w:val="FF0000"/>
        </w:rPr>
        <w:t>（3）掌握支撑本专业学习和可持续发展必备的语文、数学、外语（英语等）、信息技术等文化基础知识，具有良好的人文素养与科学素养，具备职业生涯规划能力；</w:t>
      </w:r>
    </w:p>
    <w:p w14:paraId="7C9BC9BF">
      <w:pPr>
        <w:pStyle w:val="3"/>
        <w:numPr>
          <w:ilvl w:val="0"/>
          <w:numId w:val="0"/>
        </w:numPr>
        <w:spacing w:line="360" w:lineRule="auto"/>
        <w:ind w:leftChars="-3"/>
        <w:rPr>
          <w:rFonts w:hint="eastAsia"/>
          <w:vanish/>
          <w:color w:val="FF0000"/>
        </w:rPr>
      </w:pPr>
      <w:r>
        <w:rPr>
          <w:rFonts w:hint="eastAsia"/>
          <w:vanish/>
          <w:color w:val="FF0000"/>
        </w:rPr>
        <w:t>（4）具有良好的语言表达能力、文字表达能力、沟通合作能力，具有较强的集体意识和团队合作意识，学习 1 门外语并结合本专业加以运用；</w:t>
      </w:r>
    </w:p>
    <w:p w14:paraId="4340C0E1">
      <w:pPr>
        <w:pStyle w:val="3"/>
        <w:numPr>
          <w:ilvl w:val="0"/>
          <w:numId w:val="0"/>
        </w:numPr>
        <w:spacing w:line="360" w:lineRule="auto"/>
        <w:ind w:leftChars="-3"/>
        <w:rPr>
          <w:rFonts w:hint="eastAsia"/>
          <w:vanish/>
          <w:color w:val="FF0000"/>
        </w:rPr>
      </w:pPr>
      <w:r>
        <w:rPr>
          <w:rFonts w:hint="eastAsia"/>
          <w:vanish/>
          <w:color w:val="FF0000"/>
        </w:rPr>
        <w:t>（5）掌握经济管理、市场营销、财务管理等方面的专业基础理论知识；</w:t>
      </w:r>
    </w:p>
    <w:p w14:paraId="43F75A40">
      <w:pPr>
        <w:pStyle w:val="3"/>
        <w:numPr>
          <w:ilvl w:val="0"/>
          <w:numId w:val="0"/>
        </w:numPr>
        <w:spacing w:line="360" w:lineRule="auto"/>
        <w:ind w:leftChars="-3"/>
        <w:rPr>
          <w:rFonts w:hint="eastAsia"/>
          <w:vanish/>
          <w:color w:val="FF0000"/>
        </w:rPr>
      </w:pPr>
      <w:r>
        <w:rPr>
          <w:rFonts w:hint="eastAsia"/>
          <w:vanish/>
          <w:color w:val="FF0000"/>
        </w:rPr>
        <w:t>（6）掌握数字营销策划、数字广告营销、数字互动营销、数字营销效果分析和优化等技术技能，具有数字营销能力；</w:t>
      </w:r>
    </w:p>
    <w:p w14:paraId="0E5C30DC">
      <w:pPr>
        <w:pStyle w:val="3"/>
        <w:numPr>
          <w:ilvl w:val="0"/>
          <w:numId w:val="0"/>
        </w:numPr>
        <w:spacing w:line="360" w:lineRule="auto"/>
        <w:ind w:leftChars="-3"/>
        <w:rPr>
          <w:rFonts w:hint="eastAsia"/>
          <w:vanish/>
          <w:color w:val="FF0000"/>
        </w:rPr>
      </w:pPr>
      <w:r>
        <w:rPr>
          <w:rFonts w:hint="eastAsia"/>
          <w:vanish/>
          <w:color w:val="FF0000"/>
        </w:rPr>
        <w:t>（7）掌握竞争调研、行业调研、用户调研、产品调研、用户行为分析等技术技能，具有消费者行为分析能力；</w:t>
      </w:r>
    </w:p>
    <w:p w14:paraId="3D6E7EAC">
      <w:pPr>
        <w:pStyle w:val="3"/>
        <w:numPr>
          <w:ilvl w:val="0"/>
          <w:numId w:val="0"/>
        </w:numPr>
        <w:spacing w:line="360" w:lineRule="auto"/>
        <w:ind w:leftChars="-3"/>
        <w:rPr>
          <w:rFonts w:hint="eastAsia"/>
          <w:vanish/>
          <w:color w:val="FF0000"/>
        </w:rPr>
      </w:pPr>
      <w:r>
        <w:rPr>
          <w:rFonts w:hint="eastAsia"/>
          <w:vanish/>
          <w:color w:val="FF0000"/>
        </w:rPr>
        <w:t>（8）掌握客户拜访、产品方案设计与演示、商务洽谈、项目招投标、销售管理等技术技能，具有项目销售能力；</w:t>
      </w:r>
    </w:p>
    <w:p w14:paraId="132873DD">
      <w:pPr>
        <w:pStyle w:val="3"/>
        <w:numPr>
          <w:ilvl w:val="0"/>
          <w:numId w:val="0"/>
        </w:numPr>
        <w:spacing w:line="360" w:lineRule="auto"/>
        <w:ind w:leftChars="-3"/>
        <w:rPr>
          <w:rFonts w:hint="eastAsia"/>
          <w:vanish/>
          <w:color w:val="FF0000"/>
        </w:rPr>
      </w:pPr>
      <w:r>
        <w:rPr>
          <w:rFonts w:hint="eastAsia"/>
          <w:vanish/>
          <w:color w:val="FF0000"/>
        </w:rPr>
        <w:t>（9）掌握品牌调研与分析、品牌定位与设计、品牌传播与推广等技术技能，具有品牌策划与推广能力；</w:t>
      </w:r>
    </w:p>
    <w:p w14:paraId="2F98A052">
      <w:pPr>
        <w:pStyle w:val="3"/>
        <w:numPr>
          <w:ilvl w:val="0"/>
          <w:numId w:val="0"/>
        </w:numPr>
        <w:spacing w:line="360" w:lineRule="auto"/>
        <w:ind w:leftChars="-3"/>
        <w:rPr>
          <w:rFonts w:hint="eastAsia"/>
          <w:vanish/>
          <w:color w:val="FF0000"/>
        </w:rPr>
      </w:pPr>
      <w:r>
        <w:rPr>
          <w:rFonts w:hint="eastAsia"/>
          <w:vanish/>
          <w:color w:val="FF0000"/>
        </w:rPr>
        <w:t>（10）掌握售前售中售后服务管理体系建设、客服团队组建、客户投诉监控、危机事件处理、智能客服应用场景设计及开发等技术技能，具有智能客户服务能力；</w:t>
      </w:r>
    </w:p>
    <w:p w14:paraId="23A97D14">
      <w:pPr>
        <w:pStyle w:val="3"/>
        <w:numPr>
          <w:ilvl w:val="0"/>
          <w:numId w:val="0"/>
        </w:numPr>
        <w:spacing w:line="360" w:lineRule="auto"/>
        <w:ind w:leftChars="-3"/>
        <w:rPr>
          <w:rFonts w:hint="eastAsia"/>
          <w:vanish/>
          <w:color w:val="FF0000"/>
        </w:rPr>
      </w:pPr>
      <w:r>
        <w:rPr>
          <w:rFonts w:hint="eastAsia"/>
          <w:vanish/>
          <w:color w:val="FF0000"/>
        </w:rPr>
        <w:t>（11）掌握商务数据收集、处理、分析、可视化等技术技能，具有商务数据分析能力；</w:t>
      </w:r>
    </w:p>
    <w:p w14:paraId="268031DF">
      <w:pPr>
        <w:pStyle w:val="3"/>
        <w:numPr>
          <w:ilvl w:val="0"/>
          <w:numId w:val="0"/>
        </w:numPr>
        <w:spacing w:line="360" w:lineRule="auto"/>
        <w:ind w:leftChars="-3"/>
        <w:rPr>
          <w:rFonts w:hint="eastAsia"/>
          <w:vanish/>
          <w:color w:val="FF0000"/>
        </w:rPr>
      </w:pPr>
      <w:r>
        <w:rPr>
          <w:rFonts w:hint="eastAsia"/>
          <w:vanish/>
          <w:color w:val="FF0000"/>
        </w:rPr>
        <w:t>（12）掌握信息技术基础知识，具有适应本领域数字化和智能化发展需求的数字技能；</w:t>
      </w:r>
    </w:p>
    <w:p w14:paraId="4893CDDE">
      <w:pPr>
        <w:pStyle w:val="3"/>
        <w:numPr>
          <w:ilvl w:val="0"/>
          <w:numId w:val="0"/>
        </w:numPr>
        <w:spacing w:line="360" w:lineRule="auto"/>
        <w:ind w:leftChars="-3"/>
        <w:rPr>
          <w:rFonts w:hint="eastAsia"/>
          <w:vanish/>
          <w:color w:val="FF0000"/>
        </w:rPr>
      </w:pPr>
      <w:r>
        <w:rPr>
          <w:rFonts w:hint="eastAsia"/>
          <w:vanish/>
          <w:color w:val="FF0000"/>
        </w:rPr>
        <w:t>（13）具有探究学习、终身学习和可持续发展的能力，具有整合知识和综合运用知识分析问题和解决问题的能力；</w:t>
      </w:r>
    </w:p>
    <w:p w14:paraId="5B758148">
      <w:pPr>
        <w:pStyle w:val="3"/>
        <w:numPr>
          <w:ilvl w:val="0"/>
          <w:numId w:val="0"/>
        </w:numPr>
        <w:spacing w:line="360" w:lineRule="auto"/>
        <w:ind w:leftChars="-3"/>
        <w:rPr>
          <w:rFonts w:hint="eastAsia"/>
          <w:vanish/>
          <w:color w:val="FF0000"/>
        </w:rPr>
      </w:pPr>
      <w:r>
        <w:rPr>
          <w:rFonts w:hint="eastAsia"/>
          <w:vanish/>
          <w:color w:val="FF0000"/>
        </w:rPr>
        <w:t>（14）掌握身体运动的基本知识和至少 1 项体育运动技能，达到国家大学生体质健康测试合格标准，养成良好的运动习惯、卫生习惯和行为习惯；具备一定的心理调适能力；</w:t>
      </w:r>
    </w:p>
    <w:p w14:paraId="209155FD">
      <w:pPr>
        <w:pStyle w:val="3"/>
        <w:numPr>
          <w:ilvl w:val="0"/>
          <w:numId w:val="0"/>
        </w:numPr>
        <w:spacing w:line="360" w:lineRule="auto"/>
        <w:ind w:leftChars="-3"/>
        <w:rPr>
          <w:rFonts w:hint="eastAsia"/>
          <w:vanish/>
          <w:color w:val="FF0000"/>
        </w:rPr>
      </w:pPr>
      <w:r>
        <w:rPr>
          <w:rFonts w:hint="eastAsia"/>
          <w:vanish/>
          <w:color w:val="FF0000"/>
        </w:rPr>
        <w:t>（15）掌握必备的美育知识，具有一定的文化修养、审美能力，形成至少 1 项艺术特长或爱好；</w:t>
      </w:r>
    </w:p>
    <w:p w14:paraId="3247DAB2">
      <w:pPr>
        <w:pStyle w:val="3"/>
        <w:numPr>
          <w:ilvl w:val="0"/>
          <w:numId w:val="0"/>
        </w:numPr>
        <w:spacing w:line="360" w:lineRule="auto"/>
        <w:ind w:leftChars="-3"/>
      </w:pPr>
      <w:r>
        <w:rPr>
          <w:rFonts w:hint="eastAsia"/>
          <w:vanish/>
          <w:color w:val="FF0000"/>
        </w:rPr>
        <w:t>（16）树立正确的劳动观，尊重劳动，热爱劳动，具备与本专业职业发展相适应的劳动素养，弘扬劳模精神、劳动精神、工匠精神，弘扬劳动光荣、技能宝贵、创造伟大的时代风尚。（参照教育部标准）</w:t>
      </w:r>
      <w:bookmarkEnd w:id="8"/>
    </w:p>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28A8135A">
      <w:pPr>
        <w:snapToGrid w:val="0"/>
        <w:spacing w:line="360" w:lineRule="auto"/>
        <w:ind w:firstLine="480" w:firstLineChars="200"/>
        <w:contextualSpacing/>
        <w:rPr>
          <w:rFonts w:hint="eastAsia"/>
          <w:sz w:val="24"/>
        </w:rPr>
      </w:pPr>
      <w:r>
        <w:rPr>
          <w:rFonts w:hint="eastAsia"/>
          <w:sz w:val="24"/>
        </w:rPr>
        <w:t>按照国家有关规定开齐开足公共基础课程。</w:t>
      </w:r>
    </w:p>
    <w:p w14:paraId="3D1E7598">
      <w:pPr>
        <w:snapToGrid w:val="0"/>
        <w:spacing w:line="360" w:lineRule="auto"/>
        <w:ind w:firstLine="480" w:firstLineChars="200"/>
        <w:contextualSpacing/>
        <w:rPr>
          <w:rFonts w:hint="eastAsia"/>
          <w:sz w:val="24"/>
        </w:rPr>
      </w:pPr>
      <w:r>
        <w:rPr>
          <w:rFonts w:hint="eastAsia"/>
          <w:sz w:val="24"/>
        </w:rPr>
        <w:t>应将思想政治理论、体育、军事理论与军训、心理健康教育、劳动教育等列为公共基础必修课程。将马克思主义理论类课程、党史国史、中华优秀传统文化、语文、数学、公共外语、国家安全教育、信息技术、艺术、职业发展与就业指导、创新创业教育、商业文化等列为必修课程或限定选修课程。</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2A8D1118">
      <w:pPr>
        <w:snapToGrid w:val="0"/>
        <w:spacing w:line="360" w:lineRule="auto"/>
        <w:ind w:firstLine="480" w:firstLineChars="200"/>
        <w:contextualSpacing/>
        <w:rPr>
          <w:rFonts w:hint="eastAsia"/>
          <w:sz w:val="24"/>
        </w:rPr>
      </w:pPr>
      <w:r>
        <w:rPr>
          <w:rFonts w:hint="eastAsia"/>
          <w:sz w:val="24"/>
        </w:rPr>
        <w:t>一般包括专业基础课程、专业核心课程和专业拓展课程。专业基础课程是需要前置学习的基础性理论知识和技能构成的课程，是为专业核心课程提供理论和技能支撑的基础课程； 专业核心课程是根据岗位工作内容、典型工作任务设置的课程，是培养核心职业能力的主干课程；专业拓展课程是根据学生发展需求横向拓展和纵向深化的课程，是提升综合职业能力的延展课程。</w:t>
      </w:r>
    </w:p>
    <w:p w14:paraId="495A953C">
      <w:pPr>
        <w:snapToGrid w:val="0"/>
        <w:spacing w:line="360" w:lineRule="auto"/>
        <w:ind w:firstLine="480" w:firstLineChars="200"/>
        <w:contextualSpacing/>
        <w:rPr>
          <w:rFonts w:hint="eastAsia"/>
          <w:sz w:val="24"/>
          <w:lang w:eastAsia="zh-CN"/>
        </w:rPr>
      </w:pPr>
      <w:r>
        <w:rPr>
          <w:rFonts w:hint="eastAsia"/>
          <w:sz w:val="24"/>
        </w:rPr>
        <w:t>学校应结合区域/行业实际、办学定位和人才培养需要自主确定课程，进行模块化课程设计，依托体现新方法、新技术、新工艺、新标准的真实生产项目和典型工作任务等，开展项目式、情境式教学，结合人工智能等技术实施课程教学的数字化转型。有条件的专业，可结合教学实际，探索创新课程体系</w:t>
      </w:r>
      <w:r>
        <w:rPr>
          <w:rFonts w:hint="eastAsia"/>
          <w:sz w:val="24"/>
          <w:lang w:eastAsia="zh-CN"/>
        </w:rPr>
        <w:t>。</w:t>
      </w:r>
    </w:p>
    <w:p w14:paraId="416C766F">
      <w:pPr>
        <w:snapToGrid w:val="0"/>
        <w:spacing w:line="360" w:lineRule="auto"/>
        <w:ind w:firstLine="480" w:firstLineChars="200"/>
        <w:contextualSpacing/>
        <w:rPr>
          <w:sz w:val="24"/>
        </w:rPr>
      </w:pPr>
      <w:r>
        <w:rPr>
          <w:sz w:val="24"/>
        </w:rPr>
        <w:t>（1）专业基础课程</w:t>
      </w:r>
    </w:p>
    <w:p w14:paraId="371E6035">
      <w:pPr>
        <w:snapToGrid w:val="0"/>
        <w:spacing w:line="360" w:lineRule="auto"/>
        <w:ind w:firstLine="480" w:firstLineChars="200"/>
        <w:contextualSpacing/>
        <w:rPr>
          <w:sz w:val="24"/>
        </w:rPr>
      </w:pPr>
      <w:r>
        <w:rPr>
          <w:rFonts w:hint="eastAsia"/>
          <w:sz w:val="24"/>
        </w:rPr>
        <w:t>主要包括：</w:t>
      </w:r>
      <w:r>
        <w:rPr>
          <w:rFonts w:hint="eastAsia"/>
          <w:sz w:val="24"/>
          <w:lang w:val="en-US" w:eastAsia="zh-CN"/>
        </w:rPr>
        <w:t>网络营销</w:t>
      </w:r>
      <w:r>
        <w:rPr>
          <w:rFonts w:hint="eastAsia"/>
          <w:sz w:val="24"/>
        </w:rPr>
        <w:t>、管理学基础、市场营销、</w:t>
      </w:r>
      <w:r>
        <w:rPr>
          <w:rFonts w:hint="eastAsia"/>
          <w:sz w:val="24"/>
          <w:lang w:val="en-US" w:eastAsia="zh-CN"/>
        </w:rPr>
        <w:t>经济法</w:t>
      </w:r>
      <w:r>
        <w:rPr>
          <w:rFonts w:hint="eastAsia"/>
          <w:sz w:val="24"/>
        </w:rPr>
        <w:t>领域的内容。</w:t>
      </w:r>
    </w:p>
    <w:p w14:paraId="79086925">
      <w:pPr>
        <w:snapToGrid w:val="0"/>
        <w:spacing w:line="360" w:lineRule="auto"/>
        <w:ind w:firstLine="480" w:firstLineChars="200"/>
        <w:contextualSpacing/>
        <w:rPr>
          <w:sz w:val="24"/>
        </w:rPr>
      </w:pPr>
      <w:r>
        <w:rPr>
          <w:sz w:val="24"/>
        </w:rPr>
        <w:t>（2）专业核心课程</w:t>
      </w:r>
    </w:p>
    <w:p w14:paraId="4AEEC4DA">
      <w:pPr>
        <w:snapToGrid w:val="0"/>
        <w:spacing w:line="360" w:lineRule="auto"/>
        <w:ind w:firstLine="480" w:firstLineChars="200"/>
        <w:contextualSpacing/>
      </w:pPr>
      <w:r>
        <w:rPr>
          <w:rFonts w:hint="eastAsia"/>
          <w:sz w:val="24"/>
        </w:rPr>
        <w:t>主要包括：</w:t>
      </w:r>
      <w:r>
        <w:rPr>
          <w:rFonts w:hint="eastAsia"/>
          <w:sz w:val="24"/>
          <w:lang w:val="en-US" w:eastAsia="zh-CN"/>
        </w:rPr>
        <w:t>平面设计基础、服务营销、商务数据分析与应用、消费者行为分析、品牌策划与推广、商务礼仪与沟通、智能客户服务实务</w:t>
      </w:r>
      <w:r>
        <w:rPr>
          <w:rFonts w:hint="eastAsia"/>
          <w:sz w:val="24"/>
        </w:rPr>
        <w:t>等领域的内容</w:t>
      </w:r>
      <w:r>
        <w:rPr>
          <w:rFonts w:hint="eastAsia"/>
          <w:sz w:val="24"/>
          <w:lang w:eastAsia="zh-CN"/>
        </w:rPr>
        <w:t>。</w:t>
      </w:r>
    </w:p>
    <w:p w14:paraId="136D6C5C">
      <w:pPr>
        <w:snapToGrid w:val="0"/>
        <w:ind w:firstLine="422" w:firstLineChars="200"/>
        <w:contextualSpacing/>
        <w:jc w:val="center"/>
        <w:rPr>
          <w:rFonts w:hint="eastAsia"/>
          <w:b/>
          <w:bCs/>
        </w:rPr>
      </w:pPr>
      <w:r>
        <w:rPr>
          <w:rFonts w:hint="eastAsia"/>
          <w:b/>
          <w:bCs/>
        </w:rPr>
        <w:t>专业核心课程主要教学内容与要求</w:t>
      </w:r>
    </w:p>
    <w:tbl>
      <w:tblPr>
        <w:tblStyle w:val="19"/>
        <w:tblW w:w="0" w:type="auto"/>
        <w:tblInd w:w="14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67"/>
        <w:gridCol w:w="1225"/>
        <w:gridCol w:w="2863"/>
        <w:gridCol w:w="3943"/>
      </w:tblGrid>
      <w:tr w14:paraId="15EDE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trPr>
        <w:tc>
          <w:tcPr>
            <w:tcW w:w="667" w:type="dxa"/>
            <w:tcBorders>
              <w:bottom w:val="single" w:color="000000" w:sz="4" w:space="0"/>
              <w:right w:val="single" w:color="000000" w:sz="4" w:space="0"/>
            </w:tcBorders>
          </w:tcPr>
          <w:p w14:paraId="59D5FC3F">
            <w:pPr>
              <w:jc w:val="center"/>
              <w:rPr>
                <w:rFonts w:hint="eastAsia" w:eastAsia="宋体"/>
                <w:lang w:eastAsia="zh-CN"/>
              </w:rPr>
            </w:pPr>
          </w:p>
          <w:p w14:paraId="612C8AC9">
            <w:pPr>
              <w:jc w:val="center"/>
              <w:rPr>
                <w:rFonts w:hint="eastAsia" w:eastAsia="宋体"/>
                <w:lang w:eastAsia="zh-CN"/>
              </w:rPr>
            </w:pPr>
            <w:r>
              <w:rPr>
                <w:rFonts w:hint="eastAsia" w:eastAsia="宋体"/>
                <w:lang w:eastAsia="zh-CN"/>
              </w:rPr>
              <w:t>序号</w:t>
            </w:r>
          </w:p>
        </w:tc>
        <w:tc>
          <w:tcPr>
            <w:tcW w:w="1225" w:type="dxa"/>
            <w:tcBorders>
              <w:left w:val="single" w:color="000000" w:sz="4" w:space="0"/>
              <w:bottom w:val="single" w:color="000000" w:sz="4" w:space="0"/>
              <w:right w:val="single" w:color="000000" w:sz="4" w:space="0"/>
            </w:tcBorders>
          </w:tcPr>
          <w:p w14:paraId="0E13D9E6">
            <w:pPr>
              <w:jc w:val="center"/>
              <w:rPr>
                <w:rFonts w:hint="eastAsia" w:eastAsia="宋体"/>
                <w:lang w:eastAsia="zh-CN"/>
              </w:rPr>
            </w:pPr>
            <w:r>
              <w:rPr>
                <w:rFonts w:hint="eastAsia" w:eastAsia="宋体"/>
                <w:lang w:eastAsia="zh-CN"/>
              </w:rPr>
              <w:t>课程涉及的</w:t>
            </w:r>
          </w:p>
          <w:p w14:paraId="2B6EE3B8">
            <w:pPr>
              <w:jc w:val="center"/>
              <w:rPr>
                <w:rFonts w:hint="eastAsia" w:eastAsia="宋体"/>
                <w:lang w:eastAsia="zh-CN"/>
              </w:rPr>
            </w:pPr>
            <w:r>
              <w:rPr>
                <w:rFonts w:hint="eastAsia" w:eastAsia="宋体"/>
                <w:lang w:eastAsia="zh-CN"/>
              </w:rPr>
              <w:t>主要领域</w:t>
            </w:r>
          </w:p>
        </w:tc>
        <w:tc>
          <w:tcPr>
            <w:tcW w:w="2863" w:type="dxa"/>
            <w:tcBorders>
              <w:left w:val="single" w:color="000000" w:sz="4" w:space="0"/>
              <w:bottom w:val="single" w:color="000000" w:sz="4" w:space="0"/>
              <w:right w:val="single" w:color="000000" w:sz="4" w:space="0"/>
            </w:tcBorders>
          </w:tcPr>
          <w:p w14:paraId="59BB3EF5">
            <w:pPr>
              <w:jc w:val="center"/>
              <w:rPr>
                <w:rFonts w:hint="eastAsia" w:eastAsia="宋体"/>
                <w:lang w:eastAsia="zh-CN"/>
              </w:rPr>
            </w:pPr>
          </w:p>
          <w:p w14:paraId="61E4D8FD">
            <w:pPr>
              <w:jc w:val="center"/>
              <w:rPr>
                <w:rFonts w:hint="eastAsia" w:eastAsia="宋体"/>
                <w:lang w:eastAsia="zh-CN"/>
              </w:rPr>
            </w:pPr>
            <w:r>
              <w:rPr>
                <w:rFonts w:hint="eastAsia" w:eastAsia="宋体"/>
                <w:lang w:eastAsia="zh-CN"/>
              </w:rPr>
              <w:t>典型工作任务描述</w:t>
            </w:r>
          </w:p>
        </w:tc>
        <w:tc>
          <w:tcPr>
            <w:tcW w:w="3943" w:type="dxa"/>
            <w:tcBorders>
              <w:left w:val="single" w:color="000000" w:sz="4" w:space="0"/>
              <w:bottom w:val="single" w:color="000000" w:sz="4" w:space="0"/>
            </w:tcBorders>
          </w:tcPr>
          <w:p w14:paraId="24C6D7F1">
            <w:pPr>
              <w:jc w:val="center"/>
              <w:rPr>
                <w:rFonts w:hint="eastAsia" w:eastAsia="宋体"/>
                <w:lang w:eastAsia="zh-CN"/>
              </w:rPr>
            </w:pPr>
          </w:p>
          <w:p w14:paraId="001F1DA4">
            <w:pPr>
              <w:jc w:val="center"/>
              <w:rPr>
                <w:rFonts w:hint="eastAsia" w:eastAsia="宋体"/>
                <w:lang w:eastAsia="zh-CN"/>
              </w:rPr>
            </w:pPr>
            <w:r>
              <w:rPr>
                <w:rFonts w:hint="eastAsia" w:eastAsia="宋体"/>
                <w:lang w:eastAsia="zh-CN"/>
              </w:rPr>
              <w:t>主要教学内容与要求</w:t>
            </w:r>
          </w:p>
        </w:tc>
      </w:tr>
      <w:tr w14:paraId="16043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3DCFE40E">
            <w:pPr>
              <w:jc w:val="left"/>
              <w:rPr>
                <w:rFonts w:hint="eastAsia" w:eastAsia="宋体"/>
                <w:lang w:eastAsia="zh-CN"/>
              </w:rPr>
            </w:pPr>
          </w:p>
          <w:p w14:paraId="31AE9C1F">
            <w:pPr>
              <w:jc w:val="left"/>
              <w:rPr>
                <w:rFonts w:hint="eastAsia" w:eastAsia="宋体"/>
                <w:lang w:eastAsia="zh-CN"/>
              </w:rPr>
            </w:pPr>
          </w:p>
          <w:p w14:paraId="2D8B1546">
            <w:pPr>
              <w:jc w:val="left"/>
              <w:rPr>
                <w:rFonts w:hint="eastAsia" w:eastAsia="宋体"/>
                <w:lang w:eastAsia="zh-CN"/>
              </w:rPr>
            </w:pPr>
          </w:p>
          <w:p w14:paraId="541B4A6E">
            <w:pPr>
              <w:jc w:val="left"/>
              <w:rPr>
                <w:rFonts w:hint="eastAsia" w:eastAsia="宋体"/>
                <w:lang w:eastAsia="zh-CN"/>
              </w:rPr>
            </w:pPr>
          </w:p>
          <w:p w14:paraId="6D9942F7">
            <w:pPr>
              <w:jc w:val="left"/>
              <w:rPr>
                <w:rFonts w:hint="eastAsia" w:eastAsia="宋体"/>
                <w:lang w:eastAsia="zh-CN"/>
              </w:rPr>
            </w:pPr>
          </w:p>
          <w:p w14:paraId="263D85C1">
            <w:pPr>
              <w:jc w:val="left"/>
              <w:rPr>
                <w:rFonts w:hint="eastAsia" w:eastAsia="宋体"/>
                <w:lang w:eastAsia="zh-CN"/>
              </w:rPr>
            </w:pPr>
          </w:p>
          <w:p w14:paraId="24B1BFFD">
            <w:pPr>
              <w:jc w:val="left"/>
              <w:rPr>
                <w:rFonts w:hint="eastAsia" w:eastAsia="宋体"/>
                <w:lang w:eastAsia="zh-CN"/>
              </w:rPr>
            </w:pPr>
            <w:r>
              <w:rPr>
                <w:rFonts w:hint="eastAsia" w:eastAsia="宋体"/>
                <w:lang w:eastAsia="zh-CN"/>
              </w:rPr>
              <w:t>1</w:t>
            </w:r>
          </w:p>
        </w:tc>
        <w:tc>
          <w:tcPr>
            <w:tcW w:w="1225" w:type="dxa"/>
            <w:tcBorders>
              <w:top w:val="single" w:color="000000" w:sz="4" w:space="0"/>
              <w:left w:val="single" w:color="000000" w:sz="4" w:space="0"/>
              <w:bottom w:val="single" w:color="000000" w:sz="4" w:space="0"/>
              <w:right w:val="single" w:color="000000" w:sz="4" w:space="0"/>
            </w:tcBorders>
          </w:tcPr>
          <w:p w14:paraId="40C10CD6">
            <w:pPr>
              <w:jc w:val="left"/>
              <w:rPr>
                <w:rFonts w:hint="eastAsia" w:eastAsia="宋体"/>
                <w:lang w:eastAsia="zh-CN"/>
              </w:rPr>
            </w:pPr>
          </w:p>
          <w:p w14:paraId="026C18AD">
            <w:pPr>
              <w:jc w:val="left"/>
              <w:rPr>
                <w:rFonts w:hint="eastAsia" w:eastAsia="宋体"/>
                <w:lang w:eastAsia="zh-CN"/>
              </w:rPr>
            </w:pPr>
          </w:p>
          <w:p w14:paraId="08981C18">
            <w:pPr>
              <w:jc w:val="left"/>
              <w:rPr>
                <w:rFonts w:hint="eastAsia" w:eastAsia="宋体"/>
                <w:lang w:eastAsia="zh-CN"/>
              </w:rPr>
            </w:pPr>
          </w:p>
          <w:p w14:paraId="4A49FD80">
            <w:pPr>
              <w:jc w:val="left"/>
              <w:rPr>
                <w:rFonts w:hint="eastAsia" w:eastAsia="宋体"/>
                <w:lang w:eastAsia="zh-CN"/>
              </w:rPr>
            </w:pPr>
          </w:p>
          <w:p w14:paraId="6AB13B7B">
            <w:pPr>
              <w:jc w:val="left"/>
              <w:rPr>
                <w:rFonts w:hint="eastAsia" w:eastAsia="宋体"/>
                <w:lang w:eastAsia="zh-CN"/>
              </w:rPr>
            </w:pPr>
          </w:p>
          <w:p w14:paraId="034906B3">
            <w:pPr>
              <w:jc w:val="left"/>
              <w:rPr>
                <w:rFonts w:hint="default" w:eastAsia="宋体"/>
                <w:lang w:val="en-US" w:eastAsia="zh-CN"/>
              </w:rPr>
            </w:pPr>
            <w:r>
              <w:rPr>
                <w:rFonts w:hint="eastAsia"/>
                <w:lang w:val="en-US" w:eastAsia="zh-CN"/>
              </w:rPr>
              <w:t>平面设计基础</w:t>
            </w:r>
          </w:p>
          <w:p w14:paraId="6D8AF029">
            <w:pPr>
              <w:jc w:val="left"/>
              <w:rPr>
                <w:rFonts w:hint="eastAsia" w:eastAsia="宋体"/>
                <w:lang w:eastAsia="zh-CN"/>
              </w:rPr>
            </w:pPr>
          </w:p>
        </w:tc>
        <w:tc>
          <w:tcPr>
            <w:tcW w:w="2863" w:type="dxa"/>
            <w:tcBorders>
              <w:top w:val="single" w:color="000000" w:sz="4" w:space="0"/>
              <w:left w:val="single" w:color="000000" w:sz="4" w:space="0"/>
              <w:bottom w:val="single" w:color="000000" w:sz="4" w:space="0"/>
              <w:right w:val="single" w:color="000000" w:sz="4" w:space="0"/>
            </w:tcBorders>
          </w:tcPr>
          <w:p w14:paraId="5C362E35">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电商视觉元素设计；</w:t>
            </w:r>
          </w:p>
          <w:p w14:paraId="253481EF">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页面布局与排版；​</w:t>
            </w:r>
          </w:p>
          <w:p w14:paraId="26F4EF76">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营销海报制作；</w:t>
            </w:r>
          </w:p>
          <w:p w14:paraId="6AA66965">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品牌视觉维护</w:t>
            </w:r>
          </w:p>
        </w:tc>
        <w:tc>
          <w:tcPr>
            <w:tcW w:w="3943" w:type="dxa"/>
            <w:tcBorders>
              <w:top w:val="single" w:color="000000" w:sz="4" w:space="0"/>
              <w:left w:val="single" w:color="000000" w:sz="4" w:space="0"/>
              <w:bottom w:val="single" w:color="000000" w:sz="4" w:space="0"/>
            </w:tcBorders>
          </w:tcPr>
          <w:p w14:paraId="70B8EC6E">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学习平面设计的基本概念、构成要素（点、线、面）、形式美法则（对称与均衡、对比与调和等）；</w:t>
            </w:r>
          </w:p>
          <w:p w14:paraId="424B3F89">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掌握色彩的基本原理、色彩搭配技巧，学会根据不同电商场景选择合适的色彩方案，如节日主题色、品牌专属色等，提升作品的色彩表现力。​</w:t>
            </w:r>
          </w:p>
          <w:p w14:paraId="3D42FD2A">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熟练掌握 Photoshop主流平面设计软件的使用，包括图像编辑、图形绘制、文字排版、图层样式应用等，实现设计创意的数字化表达。​</w:t>
            </w:r>
          </w:p>
          <w:p w14:paraId="77AA5115">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④ 通过模拟电商实际项目，进行商品主图优化、详情页排版、促销海报设计等实操训练，学习设计从创意构思到落地执行的全流程，培养解决实际问题的能力。​</w:t>
            </w:r>
          </w:p>
          <w:p w14:paraId="32D2D304">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⑤ 解品牌设计的基本原则与流程，学习设计品牌标识、辅助图形等元素，并应用于电商平台的品牌视觉建设，强化品牌意识与设计思维。</w:t>
            </w:r>
          </w:p>
        </w:tc>
      </w:tr>
      <w:tr w14:paraId="493AD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shd w:val="clear" w:color="auto" w:fill="auto"/>
            <w:vAlign w:val="top"/>
          </w:tcPr>
          <w:p w14:paraId="0A01F70A">
            <w:pPr>
              <w:jc w:val="left"/>
              <w:rPr>
                <w:rFonts w:hint="eastAsia" w:eastAsia="宋体"/>
                <w:lang w:eastAsia="zh-CN"/>
              </w:rPr>
            </w:pPr>
          </w:p>
          <w:p w14:paraId="7A072CDB">
            <w:pPr>
              <w:jc w:val="left"/>
              <w:rPr>
                <w:rFonts w:hint="eastAsia" w:eastAsia="宋体"/>
                <w:lang w:eastAsia="zh-CN"/>
              </w:rPr>
            </w:pPr>
          </w:p>
          <w:p w14:paraId="0A01A356">
            <w:pPr>
              <w:jc w:val="left"/>
              <w:rPr>
                <w:rFonts w:hint="eastAsia" w:eastAsia="宋体"/>
                <w:lang w:eastAsia="zh-CN"/>
              </w:rPr>
            </w:pPr>
          </w:p>
          <w:p w14:paraId="1DAAD2F1">
            <w:pPr>
              <w:jc w:val="left"/>
              <w:rPr>
                <w:rFonts w:hint="eastAsia" w:eastAsia="宋体"/>
                <w:lang w:eastAsia="zh-CN"/>
              </w:rPr>
            </w:pPr>
          </w:p>
          <w:p w14:paraId="4774DDB0">
            <w:pPr>
              <w:jc w:val="left"/>
              <w:rPr>
                <w:rFonts w:hint="eastAsia" w:eastAsia="宋体"/>
                <w:lang w:eastAsia="zh-CN"/>
              </w:rPr>
            </w:pPr>
          </w:p>
          <w:p w14:paraId="5D5616B5">
            <w:pPr>
              <w:jc w:val="left"/>
              <w:rPr>
                <w:rFonts w:hint="eastAsia" w:eastAsia="宋体"/>
                <w:lang w:eastAsia="zh-CN"/>
              </w:rPr>
            </w:pPr>
          </w:p>
          <w:p w14:paraId="7ADAE657">
            <w:pPr>
              <w:jc w:val="left"/>
              <w:rPr>
                <w:rFonts w:hint="eastAsia" w:ascii="Times New Roman" w:hAnsi="Times New Roman" w:eastAsia="宋体" w:cs="Times New Roman"/>
                <w:kern w:val="2"/>
                <w:sz w:val="21"/>
                <w:szCs w:val="24"/>
                <w:lang w:val="en-US" w:eastAsia="zh-CN" w:bidi="ar-SA"/>
              </w:rPr>
            </w:pPr>
            <w:r>
              <w:rPr>
                <w:rFonts w:hint="eastAsia"/>
                <w:lang w:val="en-US" w:eastAsia="zh-CN"/>
              </w:rPr>
              <w:t>2</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68E01E4F">
            <w:pPr>
              <w:jc w:val="left"/>
              <w:rPr>
                <w:rFonts w:hint="eastAsia" w:eastAsia="宋体"/>
                <w:lang w:eastAsia="zh-CN"/>
              </w:rPr>
            </w:pPr>
          </w:p>
          <w:p w14:paraId="1A64F2FC">
            <w:pPr>
              <w:jc w:val="left"/>
              <w:rPr>
                <w:rFonts w:hint="eastAsia" w:eastAsia="宋体"/>
                <w:lang w:eastAsia="zh-CN"/>
              </w:rPr>
            </w:pPr>
          </w:p>
          <w:p w14:paraId="7FE2EDD5">
            <w:pPr>
              <w:jc w:val="left"/>
              <w:rPr>
                <w:rFonts w:hint="eastAsia" w:eastAsia="宋体"/>
                <w:lang w:eastAsia="zh-CN"/>
              </w:rPr>
            </w:pPr>
          </w:p>
          <w:p w14:paraId="4F4E0109">
            <w:pPr>
              <w:jc w:val="left"/>
              <w:rPr>
                <w:rFonts w:hint="eastAsia" w:eastAsia="宋体"/>
                <w:lang w:eastAsia="zh-CN"/>
              </w:rPr>
            </w:pPr>
          </w:p>
          <w:p w14:paraId="25D2C210">
            <w:pPr>
              <w:jc w:val="left"/>
              <w:rPr>
                <w:rFonts w:hint="eastAsia" w:eastAsia="宋体"/>
                <w:lang w:eastAsia="zh-CN"/>
              </w:rPr>
            </w:pPr>
          </w:p>
          <w:p w14:paraId="1C524935">
            <w:pPr>
              <w:jc w:val="left"/>
              <w:rPr>
                <w:rFonts w:hint="eastAsia" w:eastAsia="宋体"/>
                <w:lang w:eastAsia="zh-CN"/>
              </w:rPr>
            </w:pPr>
          </w:p>
          <w:p w14:paraId="3454AC2B">
            <w:pPr>
              <w:jc w:val="left"/>
              <w:rPr>
                <w:rFonts w:hint="default"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服务营销</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top"/>
          </w:tcPr>
          <w:p w14:paraId="3737F3AF">
            <w:pPr>
              <w:jc w:val="left"/>
              <w:rPr>
                <w:rFonts w:hint="eastAsia" w:eastAsia="宋体"/>
                <w:lang w:eastAsia="zh-CN"/>
              </w:rPr>
            </w:pPr>
          </w:p>
          <w:p w14:paraId="5263F74B">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了解顾客需求。</w:t>
            </w:r>
          </w:p>
          <w:p w14:paraId="2C50BA05">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建立顾客关系。</w:t>
            </w:r>
          </w:p>
          <w:p w14:paraId="03122E36">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服务创新与设计。</w:t>
            </w:r>
          </w:p>
          <w:p w14:paraId="39F6D30B">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④ 服务场景搭建。</w:t>
            </w:r>
          </w:p>
          <w:p w14:paraId="6BB93E72">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⑤ 服务补救</w:t>
            </w:r>
          </w:p>
        </w:tc>
        <w:tc>
          <w:tcPr>
            <w:tcW w:w="3943" w:type="dxa"/>
            <w:tcBorders>
              <w:top w:val="single" w:color="000000" w:sz="4" w:space="0"/>
              <w:left w:val="single" w:color="000000" w:sz="4" w:space="0"/>
              <w:bottom w:val="single" w:color="000000" w:sz="4" w:space="0"/>
            </w:tcBorders>
            <w:shd w:val="clear" w:color="auto" w:fill="auto"/>
            <w:vAlign w:val="top"/>
          </w:tcPr>
          <w:p w14:paraId="5CE5EB73">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了解服务营销的理念。</w:t>
            </w:r>
          </w:p>
          <w:p w14:paraId="27C71A3D">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理解顾客服务期望。</w:t>
            </w:r>
          </w:p>
          <w:p w14:paraId="0A62F232">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掌握顾客关系建立的策略。</w:t>
            </w:r>
          </w:p>
          <w:p w14:paraId="025481FB">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④ 掌握服务创新与设计的方法和技术技能。</w:t>
            </w:r>
          </w:p>
          <w:p w14:paraId="045265F2">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⑤ 了解服务标准的定义。</w:t>
            </w:r>
          </w:p>
          <w:p w14:paraId="286DD754">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⑥ 掌握服务补救等方法和技术技能</w:t>
            </w:r>
          </w:p>
        </w:tc>
      </w:tr>
      <w:tr w14:paraId="45210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2BCFFAE9">
            <w:pPr>
              <w:jc w:val="left"/>
              <w:rPr>
                <w:rFonts w:hint="default" w:eastAsia="宋体"/>
                <w:lang w:val="en-US" w:eastAsia="zh-CN"/>
              </w:rPr>
            </w:pPr>
            <w:r>
              <w:rPr>
                <w:rFonts w:hint="eastAsia"/>
                <w:lang w:val="en-US" w:eastAsia="zh-CN"/>
              </w:rPr>
              <w:t>3</w:t>
            </w:r>
          </w:p>
        </w:tc>
        <w:tc>
          <w:tcPr>
            <w:tcW w:w="1225" w:type="dxa"/>
            <w:tcBorders>
              <w:top w:val="single" w:color="000000" w:sz="4" w:space="0"/>
              <w:left w:val="single" w:color="000000" w:sz="4" w:space="0"/>
              <w:bottom w:val="single" w:color="000000" w:sz="4" w:space="0"/>
              <w:right w:val="single" w:color="000000" w:sz="4" w:space="0"/>
            </w:tcBorders>
          </w:tcPr>
          <w:p w14:paraId="683FC43C">
            <w:pPr>
              <w:jc w:val="left"/>
              <w:rPr>
                <w:rFonts w:hint="default" w:eastAsia="宋体"/>
                <w:lang w:val="en-US" w:eastAsia="zh-CN"/>
              </w:rPr>
            </w:pPr>
            <w:r>
              <w:rPr>
                <w:rFonts w:hint="eastAsia"/>
                <w:lang w:val="en-US" w:eastAsia="zh-CN"/>
              </w:rPr>
              <w:t>商务数据分析与应用</w:t>
            </w:r>
          </w:p>
        </w:tc>
        <w:tc>
          <w:tcPr>
            <w:tcW w:w="2863" w:type="dxa"/>
            <w:tcBorders>
              <w:top w:val="single" w:color="000000" w:sz="4" w:space="0"/>
              <w:left w:val="single" w:color="000000" w:sz="4" w:space="0"/>
              <w:bottom w:val="single" w:color="000000" w:sz="4" w:space="0"/>
              <w:right w:val="single" w:color="000000" w:sz="4" w:space="0"/>
            </w:tcBorders>
          </w:tcPr>
          <w:p w14:paraId="54C7804B">
            <w:pPr>
              <w:jc w:val="left"/>
              <w:rPr>
                <w:rFonts w:hint="eastAsia" w:eastAsia="宋体"/>
                <w:lang w:eastAsia="zh-CN"/>
              </w:rPr>
            </w:pPr>
            <w:r>
              <w:rPr>
                <w:rFonts w:hint="eastAsia" w:eastAsia="宋体"/>
                <w:lang w:eastAsia="zh-CN"/>
              </w:rPr>
              <w:t>① 商务数据收集。</w:t>
            </w:r>
          </w:p>
          <w:p w14:paraId="638EEF93">
            <w:pPr>
              <w:jc w:val="left"/>
              <w:rPr>
                <w:rFonts w:hint="eastAsia" w:eastAsia="宋体"/>
                <w:lang w:eastAsia="zh-CN"/>
              </w:rPr>
            </w:pPr>
            <w:r>
              <w:rPr>
                <w:rFonts w:hint="eastAsia" w:eastAsia="宋体"/>
                <w:lang w:eastAsia="zh-CN"/>
              </w:rPr>
              <w:t>② 商务数据处理。</w:t>
            </w:r>
          </w:p>
          <w:p w14:paraId="5EACC585">
            <w:pPr>
              <w:jc w:val="left"/>
              <w:rPr>
                <w:rFonts w:hint="eastAsia" w:eastAsia="宋体"/>
                <w:lang w:eastAsia="zh-CN"/>
              </w:rPr>
            </w:pPr>
            <w:r>
              <w:rPr>
                <w:rFonts w:hint="eastAsia" w:eastAsia="宋体"/>
                <w:lang w:eastAsia="zh-CN"/>
              </w:rPr>
              <w:t>③ 商务数据分析。</w:t>
            </w:r>
          </w:p>
          <w:p w14:paraId="67EF9519">
            <w:pPr>
              <w:jc w:val="left"/>
              <w:rPr>
                <w:rFonts w:hint="eastAsia" w:eastAsia="宋体"/>
                <w:lang w:eastAsia="zh-CN"/>
              </w:rPr>
            </w:pPr>
            <w:r>
              <w:rPr>
                <w:rFonts w:hint="eastAsia" w:eastAsia="宋体"/>
                <w:lang w:eastAsia="zh-CN"/>
              </w:rPr>
              <w:t>④ 商务数据可视化</w:t>
            </w:r>
          </w:p>
        </w:tc>
        <w:tc>
          <w:tcPr>
            <w:tcW w:w="3943" w:type="dxa"/>
            <w:tcBorders>
              <w:top w:val="single" w:color="000000" w:sz="4" w:space="0"/>
              <w:left w:val="single" w:color="000000" w:sz="4" w:space="0"/>
              <w:bottom w:val="single" w:color="000000" w:sz="4" w:space="0"/>
            </w:tcBorders>
          </w:tcPr>
          <w:p w14:paraId="2AD52595">
            <w:pPr>
              <w:jc w:val="left"/>
              <w:rPr>
                <w:rFonts w:hint="eastAsia" w:eastAsia="宋体"/>
                <w:lang w:eastAsia="zh-CN"/>
              </w:rPr>
            </w:pPr>
            <w:r>
              <w:rPr>
                <w:rFonts w:hint="eastAsia" w:eastAsia="宋体"/>
                <w:lang w:eastAsia="zh-CN"/>
              </w:rPr>
              <w:t>① 掌握商务数据收集的方法和技术技能。</w:t>
            </w:r>
          </w:p>
          <w:p w14:paraId="5C8B1DE2">
            <w:pPr>
              <w:jc w:val="left"/>
              <w:rPr>
                <w:rFonts w:hint="eastAsia" w:eastAsia="宋体"/>
                <w:lang w:eastAsia="zh-CN"/>
              </w:rPr>
            </w:pPr>
            <w:r>
              <w:rPr>
                <w:rFonts w:hint="eastAsia" w:eastAsia="宋体"/>
                <w:lang w:eastAsia="zh-CN"/>
              </w:rPr>
              <w:t>② 掌握商务数据处理的方法和技术技能。</w:t>
            </w:r>
          </w:p>
          <w:p w14:paraId="71E98713">
            <w:pPr>
              <w:jc w:val="left"/>
              <w:rPr>
                <w:rFonts w:hint="eastAsia" w:eastAsia="宋体"/>
                <w:lang w:eastAsia="zh-CN"/>
              </w:rPr>
            </w:pPr>
            <w:r>
              <w:rPr>
                <w:rFonts w:hint="eastAsia" w:eastAsia="宋体"/>
                <w:lang w:eastAsia="zh-CN"/>
              </w:rPr>
              <w:t>③ 掌握商务数据分析的思路、方法和技术技能。</w:t>
            </w:r>
          </w:p>
          <w:p w14:paraId="4FC6C34F">
            <w:pPr>
              <w:jc w:val="left"/>
              <w:rPr>
                <w:rFonts w:hint="eastAsia" w:eastAsia="宋体"/>
                <w:lang w:eastAsia="zh-CN"/>
              </w:rPr>
            </w:pPr>
            <w:r>
              <w:rPr>
                <w:rFonts w:hint="eastAsia" w:eastAsia="宋体"/>
                <w:lang w:eastAsia="zh-CN"/>
              </w:rPr>
              <w:t>④ 掌握商务数据可视化的方法和技术技能</w:t>
            </w:r>
          </w:p>
        </w:tc>
      </w:tr>
      <w:tr w14:paraId="0F599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3552E611">
            <w:pPr>
              <w:jc w:val="left"/>
              <w:rPr>
                <w:rFonts w:hint="default" w:eastAsia="宋体"/>
                <w:lang w:val="en-US" w:eastAsia="zh-CN"/>
              </w:rPr>
            </w:pPr>
            <w:r>
              <w:rPr>
                <w:rFonts w:hint="eastAsia"/>
                <w:lang w:val="en-US" w:eastAsia="zh-CN"/>
              </w:rPr>
              <w:t>4</w:t>
            </w:r>
          </w:p>
        </w:tc>
        <w:tc>
          <w:tcPr>
            <w:tcW w:w="1225" w:type="dxa"/>
            <w:tcBorders>
              <w:top w:val="single" w:color="000000" w:sz="4" w:space="0"/>
              <w:left w:val="single" w:color="000000" w:sz="4" w:space="0"/>
              <w:bottom w:val="single" w:color="000000" w:sz="4" w:space="0"/>
              <w:right w:val="single" w:color="000000" w:sz="4" w:space="0"/>
            </w:tcBorders>
          </w:tcPr>
          <w:p w14:paraId="50784D10">
            <w:pPr>
              <w:jc w:val="left"/>
              <w:rPr>
                <w:rFonts w:hint="default" w:eastAsia="宋体"/>
                <w:lang w:val="en-US" w:eastAsia="zh-CN"/>
              </w:rPr>
            </w:pPr>
            <w:r>
              <w:rPr>
                <w:rFonts w:hint="eastAsia"/>
                <w:lang w:val="en-US" w:eastAsia="zh-CN"/>
              </w:rPr>
              <w:t>消费者行为分析</w:t>
            </w:r>
          </w:p>
        </w:tc>
        <w:tc>
          <w:tcPr>
            <w:tcW w:w="2863" w:type="dxa"/>
            <w:tcBorders>
              <w:top w:val="single" w:color="000000" w:sz="4" w:space="0"/>
              <w:left w:val="single" w:color="000000" w:sz="4" w:space="0"/>
              <w:bottom w:val="single" w:color="000000" w:sz="4" w:space="0"/>
              <w:right w:val="single" w:color="000000" w:sz="4" w:space="0"/>
            </w:tcBorders>
          </w:tcPr>
          <w:p w14:paraId="7714F8F5">
            <w:pPr>
              <w:jc w:val="left"/>
              <w:rPr>
                <w:rFonts w:hint="eastAsia" w:eastAsia="宋体"/>
                <w:lang w:eastAsia="zh-CN"/>
              </w:rPr>
            </w:pPr>
            <w:r>
              <w:rPr>
                <w:rFonts w:hint="eastAsia" w:eastAsia="宋体"/>
                <w:lang w:eastAsia="zh-CN"/>
              </w:rPr>
              <w:t>① 竞争调研。</w:t>
            </w:r>
          </w:p>
          <w:p w14:paraId="5535BDB5">
            <w:pPr>
              <w:jc w:val="left"/>
              <w:rPr>
                <w:rFonts w:hint="eastAsia" w:eastAsia="宋体"/>
                <w:lang w:eastAsia="zh-CN"/>
              </w:rPr>
            </w:pPr>
            <w:r>
              <w:rPr>
                <w:rFonts w:hint="eastAsia" w:eastAsia="宋体"/>
                <w:lang w:eastAsia="zh-CN"/>
              </w:rPr>
              <w:t>② 行业调研。</w:t>
            </w:r>
          </w:p>
          <w:p w14:paraId="18262348">
            <w:pPr>
              <w:jc w:val="left"/>
              <w:rPr>
                <w:rFonts w:hint="eastAsia" w:eastAsia="宋体"/>
                <w:lang w:eastAsia="zh-CN"/>
              </w:rPr>
            </w:pPr>
            <w:r>
              <w:rPr>
                <w:rFonts w:hint="eastAsia" w:eastAsia="宋体"/>
                <w:lang w:eastAsia="zh-CN"/>
              </w:rPr>
              <w:t>③ 用户调研。</w:t>
            </w:r>
          </w:p>
          <w:p w14:paraId="5B5CCB0E">
            <w:pPr>
              <w:jc w:val="left"/>
              <w:rPr>
                <w:rFonts w:hint="eastAsia" w:eastAsia="宋体"/>
                <w:lang w:eastAsia="zh-CN"/>
              </w:rPr>
            </w:pPr>
            <w:r>
              <w:rPr>
                <w:rFonts w:hint="eastAsia" w:eastAsia="宋体"/>
                <w:lang w:eastAsia="zh-CN"/>
              </w:rPr>
              <w:t>④ 产品调研。</w:t>
            </w:r>
          </w:p>
          <w:p w14:paraId="5D614D32">
            <w:pPr>
              <w:jc w:val="left"/>
              <w:rPr>
                <w:rFonts w:hint="eastAsia" w:eastAsia="宋体"/>
                <w:lang w:eastAsia="zh-CN"/>
              </w:rPr>
            </w:pPr>
            <w:r>
              <w:rPr>
                <w:rFonts w:hint="eastAsia" w:eastAsia="宋体"/>
                <w:lang w:eastAsia="zh-CN"/>
              </w:rPr>
              <w:t>⑤ 用户行为分析</w:t>
            </w:r>
          </w:p>
        </w:tc>
        <w:tc>
          <w:tcPr>
            <w:tcW w:w="3943" w:type="dxa"/>
            <w:tcBorders>
              <w:top w:val="single" w:color="000000" w:sz="4" w:space="0"/>
              <w:left w:val="single" w:color="000000" w:sz="4" w:space="0"/>
              <w:bottom w:val="single" w:color="000000" w:sz="4" w:space="0"/>
            </w:tcBorders>
          </w:tcPr>
          <w:p w14:paraId="632D1397">
            <w:pPr>
              <w:jc w:val="left"/>
              <w:rPr>
                <w:rFonts w:hint="eastAsia" w:eastAsia="宋体"/>
                <w:lang w:eastAsia="zh-CN"/>
              </w:rPr>
            </w:pPr>
            <w:r>
              <w:rPr>
                <w:rFonts w:hint="eastAsia" w:eastAsia="宋体"/>
                <w:lang w:eastAsia="zh-CN"/>
              </w:rPr>
              <w:t>① 掌握竞争调研的方法和技术技能。</w:t>
            </w:r>
          </w:p>
          <w:p w14:paraId="3DBFBEED">
            <w:pPr>
              <w:jc w:val="left"/>
              <w:rPr>
                <w:rFonts w:hint="eastAsia" w:eastAsia="宋体"/>
                <w:lang w:eastAsia="zh-CN"/>
              </w:rPr>
            </w:pPr>
            <w:r>
              <w:rPr>
                <w:rFonts w:hint="eastAsia" w:eastAsia="宋体"/>
                <w:lang w:eastAsia="zh-CN"/>
              </w:rPr>
              <w:t>② 掌握行业调研的方法和技术技能。</w:t>
            </w:r>
          </w:p>
          <w:p w14:paraId="379958BC">
            <w:pPr>
              <w:jc w:val="left"/>
              <w:rPr>
                <w:rFonts w:hint="eastAsia" w:eastAsia="宋体"/>
                <w:lang w:eastAsia="zh-CN"/>
              </w:rPr>
            </w:pPr>
            <w:r>
              <w:rPr>
                <w:rFonts w:hint="eastAsia" w:eastAsia="宋体"/>
                <w:lang w:eastAsia="zh-CN"/>
              </w:rPr>
              <w:t>③ 掌握用户调研的方法和技术技能。</w:t>
            </w:r>
          </w:p>
          <w:p w14:paraId="78FF2AB6">
            <w:pPr>
              <w:jc w:val="left"/>
              <w:rPr>
                <w:rFonts w:hint="eastAsia" w:eastAsia="宋体"/>
                <w:lang w:eastAsia="zh-CN"/>
              </w:rPr>
            </w:pPr>
            <w:r>
              <w:rPr>
                <w:rFonts w:hint="eastAsia" w:eastAsia="宋体"/>
                <w:lang w:eastAsia="zh-CN"/>
              </w:rPr>
              <w:t>④ 掌握产品调研的方法和技术技能。</w:t>
            </w:r>
          </w:p>
          <w:p w14:paraId="719D9312">
            <w:pPr>
              <w:jc w:val="left"/>
              <w:rPr>
                <w:rFonts w:hint="eastAsia" w:eastAsia="宋体"/>
                <w:lang w:eastAsia="zh-CN"/>
              </w:rPr>
            </w:pPr>
            <w:r>
              <w:rPr>
                <w:rFonts w:hint="eastAsia" w:eastAsia="宋体"/>
                <w:lang w:eastAsia="zh-CN"/>
              </w:rPr>
              <w:t>⑤ 掌握指标体系搭建、用户标签形成、用户行为分析、用户画像解读等方法和技术技能</w:t>
            </w:r>
          </w:p>
        </w:tc>
      </w:tr>
      <w:tr w14:paraId="092C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4" w:hRule="atLeast"/>
        </w:trPr>
        <w:tc>
          <w:tcPr>
            <w:tcW w:w="667" w:type="dxa"/>
            <w:tcBorders>
              <w:top w:val="single" w:color="000000" w:sz="4" w:space="0"/>
              <w:bottom w:val="single" w:color="000000" w:sz="4" w:space="0"/>
              <w:right w:val="single" w:color="000000" w:sz="4" w:space="0"/>
            </w:tcBorders>
          </w:tcPr>
          <w:p w14:paraId="0E955C37">
            <w:pPr>
              <w:jc w:val="left"/>
              <w:rPr>
                <w:rFonts w:hint="default" w:eastAsia="宋体"/>
                <w:lang w:val="en-US" w:eastAsia="zh-CN"/>
              </w:rPr>
            </w:pPr>
            <w:r>
              <w:rPr>
                <w:rFonts w:hint="eastAsia"/>
                <w:lang w:val="en-US" w:eastAsia="zh-CN"/>
              </w:rPr>
              <w:t>5</w:t>
            </w:r>
          </w:p>
        </w:tc>
        <w:tc>
          <w:tcPr>
            <w:tcW w:w="1225" w:type="dxa"/>
            <w:tcBorders>
              <w:top w:val="single" w:color="000000" w:sz="4" w:space="0"/>
              <w:left w:val="single" w:color="000000" w:sz="4" w:space="0"/>
              <w:bottom w:val="single" w:color="000000" w:sz="4" w:space="0"/>
              <w:right w:val="single" w:color="000000" w:sz="4" w:space="0"/>
            </w:tcBorders>
          </w:tcPr>
          <w:p w14:paraId="455C5209">
            <w:pPr>
              <w:jc w:val="left"/>
              <w:rPr>
                <w:rFonts w:hint="default" w:eastAsia="宋体"/>
                <w:lang w:val="en-US" w:eastAsia="zh-CN"/>
              </w:rPr>
            </w:pPr>
            <w:r>
              <w:rPr>
                <w:rFonts w:hint="eastAsia"/>
                <w:lang w:val="en-US" w:eastAsia="zh-CN"/>
              </w:rPr>
              <w:t>品牌策划与推广</w:t>
            </w:r>
          </w:p>
        </w:tc>
        <w:tc>
          <w:tcPr>
            <w:tcW w:w="2863" w:type="dxa"/>
            <w:tcBorders>
              <w:top w:val="single" w:color="000000" w:sz="4" w:space="0"/>
              <w:left w:val="single" w:color="000000" w:sz="4" w:space="0"/>
              <w:bottom w:val="single" w:color="000000" w:sz="4" w:space="0"/>
              <w:right w:val="single" w:color="000000" w:sz="4" w:space="0"/>
            </w:tcBorders>
          </w:tcPr>
          <w:p w14:paraId="697F8EC6">
            <w:pPr>
              <w:jc w:val="left"/>
              <w:rPr>
                <w:rFonts w:hint="eastAsia" w:eastAsia="宋体"/>
                <w:lang w:eastAsia="zh-CN"/>
              </w:rPr>
            </w:pPr>
            <w:r>
              <w:rPr>
                <w:rFonts w:hint="eastAsia" w:eastAsia="宋体"/>
                <w:lang w:eastAsia="zh-CN"/>
              </w:rPr>
              <w:t>① 品牌调研与分析。</w:t>
            </w:r>
          </w:p>
          <w:p w14:paraId="3DBC65EB">
            <w:pPr>
              <w:jc w:val="left"/>
              <w:rPr>
                <w:rFonts w:hint="eastAsia" w:eastAsia="宋体"/>
                <w:lang w:eastAsia="zh-CN"/>
              </w:rPr>
            </w:pPr>
            <w:r>
              <w:rPr>
                <w:rFonts w:hint="eastAsia" w:eastAsia="宋体"/>
                <w:lang w:eastAsia="zh-CN"/>
              </w:rPr>
              <w:t>② 品牌定位与设计。</w:t>
            </w:r>
          </w:p>
          <w:p w14:paraId="0DCD3515">
            <w:pPr>
              <w:jc w:val="left"/>
              <w:rPr>
                <w:rFonts w:hint="eastAsia" w:eastAsia="宋体"/>
                <w:lang w:eastAsia="zh-CN"/>
              </w:rPr>
            </w:pPr>
            <w:r>
              <w:rPr>
                <w:rFonts w:hint="eastAsia" w:eastAsia="宋体"/>
                <w:lang w:eastAsia="zh-CN"/>
              </w:rPr>
              <w:t>③ 品牌传播与推广</w:t>
            </w:r>
          </w:p>
        </w:tc>
        <w:tc>
          <w:tcPr>
            <w:tcW w:w="3943" w:type="dxa"/>
            <w:tcBorders>
              <w:top w:val="single" w:color="000000" w:sz="4" w:space="0"/>
              <w:left w:val="single" w:color="000000" w:sz="4" w:space="0"/>
              <w:bottom w:val="single" w:color="000000" w:sz="4" w:space="0"/>
            </w:tcBorders>
          </w:tcPr>
          <w:p w14:paraId="393347C1">
            <w:pPr>
              <w:jc w:val="left"/>
              <w:rPr>
                <w:rFonts w:hint="eastAsia"/>
                <w:lang w:val="en-US" w:eastAsia="zh-CN"/>
              </w:rPr>
            </w:pPr>
            <w:r>
              <w:rPr>
                <w:rFonts w:hint="eastAsia"/>
                <w:lang w:val="en-US" w:eastAsia="zh-CN"/>
              </w:rPr>
              <w:t>① 掌握品牌现状分析的方法和技术技能。</w:t>
            </w:r>
          </w:p>
          <w:p w14:paraId="52D4C41C">
            <w:pPr>
              <w:jc w:val="left"/>
              <w:rPr>
                <w:rFonts w:hint="eastAsia"/>
                <w:lang w:val="en-US" w:eastAsia="zh-CN"/>
              </w:rPr>
            </w:pPr>
            <w:r>
              <w:rPr>
                <w:rFonts w:hint="eastAsia"/>
                <w:lang w:val="en-US" w:eastAsia="zh-CN"/>
              </w:rPr>
              <w:t>② 掌握品牌定位的方法和技术技能。</w:t>
            </w:r>
          </w:p>
          <w:p w14:paraId="447BFE98">
            <w:pPr>
              <w:jc w:val="left"/>
              <w:rPr>
                <w:rFonts w:hint="eastAsia"/>
                <w:lang w:val="en-US" w:eastAsia="zh-CN"/>
              </w:rPr>
            </w:pPr>
            <w:r>
              <w:rPr>
                <w:rFonts w:hint="eastAsia"/>
                <w:lang w:val="en-US" w:eastAsia="zh-CN"/>
              </w:rPr>
              <w:t>③ 掌握品牌人格化的方法和技术技能。</w:t>
            </w:r>
          </w:p>
          <w:p w14:paraId="02465F09">
            <w:pPr>
              <w:jc w:val="left"/>
              <w:rPr>
                <w:rFonts w:hint="eastAsia"/>
                <w:lang w:val="en-US" w:eastAsia="zh-CN"/>
              </w:rPr>
            </w:pPr>
            <w:r>
              <w:rPr>
                <w:rFonts w:hint="eastAsia"/>
                <w:lang w:val="en-US" w:eastAsia="zh-CN"/>
              </w:rPr>
              <w:t>④ 掌握品牌命名的方法和技术技能。</w:t>
            </w:r>
          </w:p>
          <w:p w14:paraId="6CAAEC2D">
            <w:pPr>
              <w:jc w:val="left"/>
              <w:rPr>
                <w:rFonts w:hint="eastAsia"/>
                <w:lang w:val="en-US" w:eastAsia="zh-CN"/>
              </w:rPr>
            </w:pPr>
            <w:r>
              <w:rPr>
                <w:rFonts w:hint="eastAsia"/>
                <w:lang w:val="en-US" w:eastAsia="zh-CN"/>
              </w:rPr>
              <w:t>⑤ 掌握品牌广告语创作的方法和技术技能。</w:t>
            </w:r>
          </w:p>
          <w:p w14:paraId="2982BEFF">
            <w:pPr>
              <w:jc w:val="left"/>
              <w:rPr>
                <w:rFonts w:hint="eastAsia"/>
                <w:lang w:val="en-US" w:eastAsia="zh-CN"/>
              </w:rPr>
            </w:pPr>
            <w:r>
              <w:rPr>
                <w:rFonts w:hint="eastAsia"/>
                <w:lang w:val="en-US" w:eastAsia="zh-CN"/>
              </w:rPr>
              <w:t>⑥ 掌握品牌故事写作的方法和技术技能。</w:t>
            </w:r>
          </w:p>
          <w:p w14:paraId="60188C82">
            <w:pPr>
              <w:jc w:val="left"/>
              <w:rPr>
                <w:rFonts w:hint="eastAsia"/>
                <w:lang w:val="en-US" w:eastAsia="zh-CN"/>
              </w:rPr>
            </w:pPr>
            <w:r>
              <w:rPr>
                <w:rFonts w:hint="eastAsia"/>
                <w:lang w:val="en-US" w:eastAsia="zh-CN"/>
              </w:rPr>
              <w:t>⑦ 掌握品牌 logo 设计的方法和技术技能。</w:t>
            </w:r>
          </w:p>
          <w:p w14:paraId="7D4B81C3">
            <w:pPr>
              <w:jc w:val="left"/>
              <w:rPr>
                <w:rFonts w:hint="eastAsia"/>
                <w:lang w:val="en-US" w:eastAsia="zh-CN"/>
              </w:rPr>
            </w:pPr>
            <w:r>
              <w:rPr>
                <w:rFonts w:hint="eastAsia"/>
                <w:lang w:val="en-US" w:eastAsia="zh-CN"/>
              </w:rPr>
              <w:t>⑧ 掌握品牌 IP 构建的方法和技术技能。</w:t>
            </w:r>
          </w:p>
          <w:p w14:paraId="66E3393B">
            <w:pPr>
              <w:jc w:val="left"/>
              <w:rPr>
                <w:rFonts w:hint="eastAsia"/>
                <w:lang w:val="en-US" w:eastAsia="zh-CN"/>
              </w:rPr>
            </w:pPr>
            <w:r>
              <w:rPr>
                <w:rFonts w:hint="eastAsia"/>
                <w:lang w:val="en-US" w:eastAsia="zh-CN"/>
              </w:rPr>
              <w:t>⑨ 掌握品牌感官设计的方法和技术技能。</w:t>
            </w:r>
          </w:p>
          <w:p w14:paraId="6E354EC5">
            <w:pPr>
              <w:jc w:val="left"/>
              <w:rPr>
                <w:rFonts w:hint="eastAsia"/>
                <w:lang w:val="en-US" w:eastAsia="zh-CN"/>
              </w:rPr>
            </w:pPr>
            <w:r>
              <w:rPr>
                <w:rFonts w:hint="eastAsia"/>
                <w:lang w:val="en-US" w:eastAsia="zh-CN"/>
              </w:rPr>
              <w:t>⑩ 掌握品牌推广的方法和技术技能</w:t>
            </w:r>
          </w:p>
        </w:tc>
      </w:tr>
      <w:tr w14:paraId="4E1C8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000B92FE">
            <w:pPr>
              <w:jc w:val="left"/>
              <w:rPr>
                <w:rFonts w:hint="default" w:eastAsia="宋体"/>
                <w:lang w:val="en-US" w:eastAsia="zh-CN"/>
              </w:rPr>
            </w:pPr>
            <w:r>
              <w:rPr>
                <w:rFonts w:hint="eastAsia"/>
                <w:lang w:val="en-US" w:eastAsia="zh-CN"/>
              </w:rPr>
              <w:t>6</w:t>
            </w:r>
          </w:p>
        </w:tc>
        <w:tc>
          <w:tcPr>
            <w:tcW w:w="1225" w:type="dxa"/>
            <w:tcBorders>
              <w:top w:val="single" w:color="000000" w:sz="4" w:space="0"/>
              <w:left w:val="single" w:color="000000" w:sz="4" w:space="0"/>
              <w:bottom w:val="single" w:color="000000" w:sz="4" w:space="0"/>
              <w:right w:val="single" w:color="000000" w:sz="4" w:space="0"/>
            </w:tcBorders>
          </w:tcPr>
          <w:p w14:paraId="54BE3278">
            <w:pPr>
              <w:jc w:val="left"/>
              <w:rPr>
                <w:rFonts w:hint="default" w:eastAsia="宋体"/>
                <w:lang w:val="en-US" w:eastAsia="zh-CN"/>
              </w:rPr>
            </w:pPr>
            <w:r>
              <w:rPr>
                <w:rFonts w:hint="eastAsia"/>
                <w:lang w:val="en-US" w:eastAsia="zh-CN"/>
              </w:rPr>
              <w:t>商务礼仪与沟通</w:t>
            </w:r>
          </w:p>
        </w:tc>
        <w:tc>
          <w:tcPr>
            <w:tcW w:w="2863" w:type="dxa"/>
            <w:tcBorders>
              <w:top w:val="single" w:color="000000" w:sz="4" w:space="0"/>
              <w:left w:val="single" w:color="000000" w:sz="4" w:space="0"/>
              <w:bottom w:val="single" w:color="000000" w:sz="4" w:space="0"/>
              <w:right w:val="single" w:color="000000" w:sz="4" w:space="0"/>
            </w:tcBorders>
          </w:tcPr>
          <w:p w14:paraId="1EDC455D">
            <w:pPr>
              <w:jc w:val="left"/>
              <w:rPr>
                <w:rFonts w:hint="eastAsia" w:eastAsia="宋体"/>
                <w:lang w:eastAsia="zh-CN"/>
              </w:rPr>
            </w:pPr>
            <w:r>
              <w:rPr>
                <w:rFonts w:hint="eastAsia" w:eastAsia="宋体"/>
                <w:lang w:eastAsia="zh-CN"/>
              </w:rPr>
              <w:t>① 职业形象礼仪。</w:t>
            </w:r>
          </w:p>
          <w:p w14:paraId="2AC67154">
            <w:pPr>
              <w:jc w:val="left"/>
              <w:rPr>
                <w:rFonts w:hint="eastAsia" w:eastAsia="宋体"/>
                <w:lang w:eastAsia="zh-CN"/>
              </w:rPr>
            </w:pPr>
            <w:r>
              <w:rPr>
                <w:rFonts w:hint="eastAsia" w:eastAsia="宋体"/>
                <w:lang w:eastAsia="zh-CN"/>
              </w:rPr>
              <w:t>② 商务交往礼仪。</w:t>
            </w:r>
          </w:p>
          <w:p w14:paraId="0B7EBCC2">
            <w:pPr>
              <w:jc w:val="left"/>
              <w:rPr>
                <w:rFonts w:hint="eastAsia" w:eastAsia="宋体"/>
                <w:lang w:eastAsia="zh-CN"/>
              </w:rPr>
            </w:pPr>
            <w:r>
              <w:rPr>
                <w:rFonts w:hint="eastAsia" w:eastAsia="宋体"/>
                <w:lang w:eastAsia="zh-CN"/>
              </w:rPr>
              <w:t>③ 人际沟通礼仪。</w:t>
            </w:r>
          </w:p>
          <w:p w14:paraId="0D02F77D">
            <w:pPr>
              <w:jc w:val="left"/>
              <w:rPr>
                <w:rFonts w:hint="eastAsia" w:eastAsia="宋体"/>
                <w:lang w:eastAsia="zh-CN"/>
              </w:rPr>
            </w:pPr>
            <w:r>
              <w:rPr>
                <w:rFonts w:hint="eastAsia" w:eastAsia="宋体"/>
                <w:lang w:eastAsia="zh-CN"/>
              </w:rPr>
              <w:t>④ 会务宴请礼仪</w:t>
            </w:r>
          </w:p>
        </w:tc>
        <w:tc>
          <w:tcPr>
            <w:tcW w:w="3943" w:type="dxa"/>
            <w:tcBorders>
              <w:top w:val="single" w:color="000000" w:sz="4" w:space="0"/>
              <w:left w:val="single" w:color="000000" w:sz="4" w:space="0"/>
              <w:bottom w:val="single" w:color="000000" w:sz="4" w:space="0"/>
            </w:tcBorders>
          </w:tcPr>
          <w:p w14:paraId="1256846D">
            <w:pPr>
              <w:jc w:val="left"/>
              <w:rPr>
                <w:rFonts w:hint="eastAsia" w:eastAsia="宋体"/>
                <w:lang w:eastAsia="zh-CN"/>
              </w:rPr>
            </w:pPr>
            <w:r>
              <w:rPr>
                <w:rFonts w:hint="eastAsia" w:eastAsia="宋体"/>
                <w:lang w:eastAsia="zh-CN"/>
              </w:rPr>
              <w:t>① 掌握仪容、仪表、仪态等职业形象的礼仪。</w:t>
            </w:r>
          </w:p>
          <w:p w14:paraId="09FE83FA">
            <w:pPr>
              <w:jc w:val="left"/>
              <w:rPr>
                <w:rFonts w:hint="eastAsia" w:eastAsia="宋体"/>
                <w:lang w:eastAsia="zh-CN"/>
              </w:rPr>
            </w:pPr>
            <w:r>
              <w:rPr>
                <w:rFonts w:hint="eastAsia" w:eastAsia="宋体"/>
                <w:lang w:eastAsia="zh-CN"/>
              </w:rPr>
              <w:t>② 掌握见面、介绍、握手、送行等商务交往的礼仪。</w:t>
            </w:r>
          </w:p>
          <w:p w14:paraId="29BFEE46">
            <w:pPr>
              <w:jc w:val="left"/>
              <w:rPr>
                <w:rFonts w:hint="eastAsia" w:eastAsia="宋体"/>
                <w:lang w:eastAsia="zh-CN"/>
              </w:rPr>
            </w:pPr>
            <w:r>
              <w:rPr>
                <w:rFonts w:hint="eastAsia" w:eastAsia="宋体"/>
                <w:lang w:eastAsia="zh-CN"/>
              </w:rPr>
              <w:t>③ 掌握语言沟通、非语言沟通、电话沟通、网络沟通等人际沟通的技巧与礼仪。</w:t>
            </w:r>
          </w:p>
          <w:p w14:paraId="4D751B3D">
            <w:pPr>
              <w:jc w:val="left"/>
              <w:rPr>
                <w:rFonts w:hint="eastAsia" w:eastAsia="宋体"/>
                <w:lang w:eastAsia="zh-CN"/>
              </w:rPr>
            </w:pPr>
            <w:r>
              <w:rPr>
                <w:rFonts w:hint="eastAsia" w:eastAsia="宋体"/>
                <w:lang w:eastAsia="zh-CN"/>
              </w:rPr>
              <w:t>④ 掌握位次、会议、宴请等会务宴请的礼仪</w:t>
            </w:r>
          </w:p>
        </w:tc>
      </w:tr>
      <w:tr w14:paraId="0509B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2D2FD2C7">
            <w:pPr>
              <w:jc w:val="left"/>
              <w:rPr>
                <w:rFonts w:hint="default" w:eastAsia="宋体"/>
                <w:lang w:val="en-US" w:eastAsia="zh-CN"/>
              </w:rPr>
            </w:pPr>
            <w:r>
              <w:rPr>
                <w:rFonts w:hint="eastAsia"/>
                <w:lang w:val="en-US" w:eastAsia="zh-CN"/>
              </w:rPr>
              <w:t>7</w:t>
            </w:r>
          </w:p>
        </w:tc>
        <w:tc>
          <w:tcPr>
            <w:tcW w:w="1225" w:type="dxa"/>
            <w:tcBorders>
              <w:top w:val="single" w:color="000000" w:sz="4" w:space="0"/>
              <w:left w:val="single" w:color="000000" w:sz="4" w:space="0"/>
              <w:bottom w:val="single" w:color="000000" w:sz="4" w:space="0"/>
              <w:right w:val="single" w:color="000000" w:sz="4" w:space="0"/>
            </w:tcBorders>
          </w:tcPr>
          <w:p w14:paraId="759BFE0F">
            <w:pPr>
              <w:jc w:val="left"/>
              <w:rPr>
                <w:rFonts w:hint="default" w:eastAsia="宋体"/>
                <w:lang w:val="en-US" w:eastAsia="zh-CN"/>
              </w:rPr>
            </w:pPr>
            <w:r>
              <w:rPr>
                <w:rFonts w:hint="eastAsia"/>
                <w:lang w:val="en-US" w:eastAsia="zh-CN"/>
              </w:rPr>
              <w:t>智能客户服务管理</w:t>
            </w:r>
          </w:p>
        </w:tc>
        <w:tc>
          <w:tcPr>
            <w:tcW w:w="2863" w:type="dxa"/>
            <w:tcBorders>
              <w:top w:val="single" w:color="000000" w:sz="4" w:space="0"/>
              <w:left w:val="single" w:color="000000" w:sz="4" w:space="0"/>
              <w:bottom w:val="single" w:color="000000" w:sz="4" w:space="0"/>
              <w:right w:val="single" w:color="000000" w:sz="4" w:space="0"/>
            </w:tcBorders>
          </w:tcPr>
          <w:p w14:paraId="38C5A8EA">
            <w:pPr>
              <w:jc w:val="left"/>
              <w:rPr>
                <w:rFonts w:hint="eastAsia" w:eastAsia="宋体"/>
                <w:lang w:eastAsia="zh-CN"/>
              </w:rPr>
            </w:pPr>
            <w:r>
              <w:rPr>
                <w:rFonts w:hint="eastAsia" w:eastAsia="宋体"/>
                <w:lang w:eastAsia="zh-CN"/>
              </w:rPr>
              <w:t>① 售前售中售后服务管理体系建设。</w:t>
            </w:r>
          </w:p>
          <w:p w14:paraId="0E454162">
            <w:pPr>
              <w:jc w:val="left"/>
              <w:rPr>
                <w:rFonts w:hint="eastAsia" w:eastAsia="宋体"/>
                <w:lang w:eastAsia="zh-CN"/>
              </w:rPr>
            </w:pPr>
            <w:r>
              <w:rPr>
                <w:rFonts w:hint="eastAsia" w:eastAsia="宋体"/>
                <w:lang w:eastAsia="zh-CN"/>
              </w:rPr>
              <w:t>② 客服团队组建。</w:t>
            </w:r>
          </w:p>
          <w:p w14:paraId="02C1A3D5">
            <w:pPr>
              <w:jc w:val="left"/>
              <w:rPr>
                <w:rFonts w:hint="eastAsia" w:eastAsia="宋体"/>
                <w:lang w:eastAsia="zh-CN"/>
              </w:rPr>
            </w:pPr>
            <w:r>
              <w:rPr>
                <w:rFonts w:hint="eastAsia" w:eastAsia="宋体"/>
                <w:lang w:eastAsia="zh-CN"/>
              </w:rPr>
              <w:t>③ 客户投诉监控和危机事件处理。</w:t>
            </w:r>
          </w:p>
          <w:p w14:paraId="13C1BD4F">
            <w:pPr>
              <w:jc w:val="left"/>
              <w:rPr>
                <w:rFonts w:hint="eastAsia" w:eastAsia="宋体"/>
                <w:lang w:eastAsia="zh-CN"/>
              </w:rPr>
            </w:pPr>
            <w:r>
              <w:rPr>
                <w:rFonts w:hint="eastAsia" w:eastAsia="宋体"/>
                <w:lang w:eastAsia="zh-CN"/>
              </w:rPr>
              <w:t>④ 智能客服应用场景设计及开发</w:t>
            </w:r>
          </w:p>
        </w:tc>
        <w:tc>
          <w:tcPr>
            <w:tcW w:w="3943" w:type="dxa"/>
            <w:tcBorders>
              <w:top w:val="single" w:color="000000" w:sz="4" w:space="0"/>
              <w:left w:val="single" w:color="000000" w:sz="4" w:space="0"/>
              <w:bottom w:val="single" w:color="000000" w:sz="4" w:space="0"/>
            </w:tcBorders>
          </w:tcPr>
          <w:p w14:paraId="2703ADBF">
            <w:pPr>
              <w:jc w:val="left"/>
              <w:rPr>
                <w:rFonts w:hint="eastAsia" w:eastAsia="宋体"/>
                <w:lang w:eastAsia="zh-CN"/>
              </w:rPr>
            </w:pPr>
            <w:r>
              <w:rPr>
                <w:rFonts w:hint="eastAsia" w:eastAsia="宋体"/>
                <w:lang w:eastAsia="zh-CN"/>
              </w:rPr>
              <w:t>① 掌握售前售中售后服务管理体系建设的方法和技术技能。</w:t>
            </w:r>
          </w:p>
          <w:p w14:paraId="1A4FA1CE">
            <w:pPr>
              <w:jc w:val="left"/>
              <w:rPr>
                <w:rFonts w:hint="eastAsia" w:eastAsia="宋体"/>
                <w:lang w:eastAsia="zh-CN"/>
              </w:rPr>
            </w:pPr>
            <w:r>
              <w:rPr>
                <w:rFonts w:hint="eastAsia" w:eastAsia="宋体"/>
                <w:lang w:eastAsia="zh-CN"/>
              </w:rPr>
              <w:t>② 掌握客服团队组建的方法和技术技能。</w:t>
            </w:r>
          </w:p>
          <w:p w14:paraId="25804148">
            <w:pPr>
              <w:jc w:val="left"/>
              <w:rPr>
                <w:rFonts w:hint="eastAsia" w:eastAsia="宋体"/>
                <w:lang w:eastAsia="zh-CN"/>
              </w:rPr>
            </w:pPr>
            <w:r>
              <w:rPr>
                <w:rFonts w:hint="eastAsia" w:eastAsia="宋体"/>
                <w:lang w:eastAsia="zh-CN"/>
              </w:rPr>
              <w:t>③ 掌握客户投诉监控和危机事件处理的方法和技术技能。</w:t>
            </w:r>
          </w:p>
          <w:p w14:paraId="66296EDC">
            <w:pPr>
              <w:jc w:val="left"/>
              <w:rPr>
                <w:rFonts w:hint="eastAsia" w:eastAsia="宋体"/>
                <w:lang w:eastAsia="zh-CN"/>
              </w:rPr>
            </w:pPr>
            <w:r>
              <w:rPr>
                <w:rFonts w:hint="eastAsia" w:eastAsia="宋体"/>
                <w:lang w:eastAsia="zh-CN"/>
              </w:rPr>
              <w:t>④ 掌握智能客服应用场景需求调研的方法和技术技能。</w:t>
            </w:r>
          </w:p>
          <w:p w14:paraId="3EB75A3D">
            <w:pPr>
              <w:jc w:val="left"/>
              <w:rPr>
                <w:rFonts w:hint="eastAsia" w:eastAsia="宋体"/>
                <w:lang w:eastAsia="zh-CN"/>
              </w:rPr>
            </w:pPr>
            <w:r>
              <w:rPr>
                <w:rFonts w:hint="eastAsia" w:eastAsia="宋体"/>
                <w:lang w:eastAsia="zh-CN"/>
              </w:rPr>
              <w:t>⑤ 掌握智能客服人机对话设计的方法和技术技能。</w:t>
            </w:r>
          </w:p>
          <w:p w14:paraId="6E4E09F2">
            <w:pPr>
              <w:jc w:val="left"/>
              <w:rPr>
                <w:rFonts w:hint="eastAsia" w:eastAsia="宋体"/>
                <w:lang w:eastAsia="zh-CN"/>
              </w:rPr>
            </w:pPr>
            <w:r>
              <w:rPr>
                <w:rFonts w:hint="eastAsia" w:eastAsia="宋体"/>
                <w:lang w:eastAsia="zh-CN"/>
              </w:rPr>
              <w:t>⑥ 掌握智能客服数据分析优化的方法和技术技能</w:t>
            </w:r>
          </w:p>
        </w:tc>
      </w:tr>
    </w:tbl>
    <w:p w14:paraId="39EE1616">
      <w:pPr>
        <w:spacing w:after="0"/>
        <w:jc w:val="left"/>
        <w:rPr>
          <w:sz w:val="18"/>
        </w:rPr>
      </w:pPr>
    </w:p>
    <w:p w14:paraId="6F06FD07">
      <w:pPr>
        <w:bidi w:val="0"/>
        <w:rPr>
          <w:rFonts w:ascii="Times New Roman" w:hAnsi="Times New Roman" w:eastAsia="宋体" w:cs="Times New Roman"/>
          <w:kern w:val="2"/>
          <w:sz w:val="21"/>
          <w:szCs w:val="24"/>
          <w:lang w:val="en-US" w:eastAsia="zh-CN" w:bidi="ar-SA"/>
        </w:rPr>
      </w:pPr>
    </w:p>
    <w:p w14:paraId="33AA96F5">
      <w:pPr>
        <w:bidi w:val="0"/>
        <w:rPr>
          <w:lang w:val="en-US" w:eastAsia="zh-CN"/>
        </w:rPr>
      </w:pPr>
    </w:p>
    <w:p w14:paraId="0BE14B63">
      <w:pPr>
        <w:bidi w:val="0"/>
        <w:rPr>
          <w:lang w:val="en-US" w:eastAsia="zh-CN"/>
        </w:rPr>
      </w:pPr>
    </w:p>
    <w:p w14:paraId="70B377E0">
      <w:pPr>
        <w:bidi w:val="0"/>
        <w:rPr>
          <w:lang w:val="en-US" w:eastAsia="zh-CN"/>
        </w:rPr>
      </w:pPr>
    </w:p>
    <w:p w14:paraId="5411176D">
      <w:pPr>
        <w:bidi w:val="0"/>
        <w:rPr>
          <w:lang w:val="en-US" w:eastAsia="zh-CN"/>
        </w:rPr>
      </w:pPr>
    </w:p>
    <w:p w14:paraId="3E463722">
      <w:pPr>
        <w:bidi w:val="0"/>
        <w:rPr>
          <w:lang w:val="en-US" w:eastAsia="zh-CN"/>
        </w:rPr>
      </w:pPr>
    </w:p>
    <w:p w14:paraId="1DE42D7E">
      <w:pPr>
        <w:bidi w:val="0"/>
        <w:rPr>
          <w:lang w:val="en-US" w:eastAsia="zh-CN"/>
        </w:rPr>
      </w:pPr>
    </w:p>
    <w:p w14:paraId="476E5AA6">
      <w:pPr>
        <w:bidi w:val="0"/>
        <w:rPr>
          <w:lang w:val="en-US" w:eastAsia="zh-CN"/>
        </w:rPr>
      </w:pPr>
    </w:p>
    <w:p w14:paraId="0885DBB1">
      <w:pPr>
        <w:bidi w:val="0"/>
        <w:rPr>
          <w:lang w:val="en-US" w:eastAsia="zh-CN"/>
        </w:rPr>
      </w:pPr>
    </w:p>
    <w:p w14:paraId="1CA25A80">
      <w:pPr>
        <w:bidi w:val="0"/>
        <w:rPr>
          <w:lang w:val="en-US" w:eastAsia="zh-CN"/>
        </w:rPr>
      </w:pPr>
    </w:p>
    <w:p w14:paraId="6CDE6E1F">
      <w:pPr>
        <w:tabs>
          <w:tab w:val="left" w:pos="483"/>
        </w:tabs>
        <w:bidi w:val="0"/>
        <w:jc w:val="left"/>
        <w:rPr>
          <w:lang w:val="en-US" w:eastAsia="zh-CN"/>
        </w:rPr>
      </w:pPr>
    </w:p>
    <w:p w14:paraId="4F8C0D5B">
      <w:pPr>
        <w:tabs>
          <w:tab w:val="left" w:pos="243"/>
        </w:tabs>
        <w:bidi w:val="0"/>
        <w:jc w:val="left"/>
        <w:rPr>
          <w:lang w:val="en-US" w:eastAsia="zh-CN"/>
        </w:rPr>
        <w:sectPr>
          <w:pgSz w:w="10820" w:h="15080"/>
          <w:pgMar w:top="1420" w:right="800" w:bottom="1340" w:left="960" w:header="0" w:footer="1157" w:gutter="0"/>
          <w:cols w:space="720" w:num="1"/>
        </w:sectPr>
      </w:pPr>
    </w:p>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rFonts w:hint="eastAsia"/>
          <w:sz w:val="24"/>
        </w:rPr>
      </w:pPr>
      <w:r>
        <w:rPr>
          <w:rFonts w:hint="eastAsia"/>
          <w:sz w:val="24"/>
        </w:rPr>
        <w:t>主要包括：</w:t>
      </w:r>
      <w:r>
        <w:rPr>
          <w:rFonts w:hint="eastAsia"/>
          <w:sz w:val="24"/>
          <w:lang w:val="en-US" w:eastAsia="zh-CN"/>
        </w:rPr>
        <w:t>视觉营销设计</w:t>
      </w:r>
      <w:r>
        <w:rPr>
          <w:rFonts w:hint="eastAsia"/>
          <w:sz w:val="24"/>
        </w:rPr>
        <w:t>、办公软件高级应用</w:t>
      </w:r>
      <w:r>
        <w:rPr>
          <w:rFonts w:hint="eastAsia"/>
          <w:sz w:val="24"/>
          <w:lang w:eastAsia="zh-CN"/>
        </w:rPr>
        <w:t>（二级</w:t>
      </w:r>
      <w:r>
        <w:rPr>
          <w:rFonts w:hint="eastAsia"/>
          <w:sz w:val="24"/>
          <w:lang w:val="en-US" w:eastAsia="zh-CN"/>
        </w:rPr>
        <w:t>OFFICE高级应用</w:t>
      </w:r>
      <w:r>
        <w:rPr>
          <w:rFonts w:hint="eastAsia"/>
          <w:sz w:val="24"/>
          <w:lang w:eastAsia="zh-CN"/>
        </w:rPr>
        <w:t>）</w:t>
      </w:r>
      <w:r>
        <w:rPr>
          <w:rFonts w:hint="eastAsia"/>
          <w:sz w:val="24"/>
        </w:rPr>
        <w:t>、商务沟通</w:t>
      </w:r>
      <w:r>
        <w:rPr>
          <w:rFonts w:hint="eastAsia"/>
          <w:sz w:val="24"/>
          <w:lang w:eastAsia="zh-CN"/>
        </w:rPr>
        <w:t>（演讲</w:t>
      </w:r>
      <w:r>
        <w:rPr>
          <w:rFonts w:hint="eastAsia"/>
          <w:sz w:val="24"/>
          <w:lang w:val="en-US" w:eastAsia="zh-CN"/>
        </w:rPr>
        <w:t>与沟通</w:t>
      </w:r>
      <w:r>
        <w:rPr>
          <w:rFonts w:hint="eastAsia"/>
          <w:sz w:val="24"/>
          <w:lang w:eastAsia="zh-CN"/>
        </w:rPr>
        <w:t>）</w:t>
      </w:r>
      <w:r>
        <w:rPr>
          <w:rFonts w:hint="eastAsia"/>
          <w:sz w:val="24"/>
        </w:rPr>
        <w:t>、社交礼仪</w:t>
      </w:r>
      <w:r>
        <w:rPr>
          <w:rFonts w:hint="eastAsia"/>
          <w:sz w:val="24"/>
          <w:lang w:eastAsia="zh-CN"/>
        </w:rPr>
        <w:t>（商务</w:t>
      </w:r>
      <w:r>
        <w:rPr>
          <w:rFonts w:hint="eastAsia"/>
          <w:sz w:val="24"/>
          <w:lang w:val="en-US" w:eastAsia="zh-CN"/>
        </w:rPr>
        <w:t>谈判与礼仪</w:t>
      </w:r>
      <w:r>
        <w:rPr>
          <w:rFonts w:hint="eastAsia"/>
          <w:sz w:val="24"/>
          <w:lang w:eastAsia="zh-CN"/>
        </w:rPr>
        <w:t>）</w:t>
      </w:r>
      <w:r>
        <w:rPr>
          <w:rFonts w:hint="eastAsia"/>
          <w:sz w:val="24"/>
        </w:rPr>
        <w:t>、</w:t>
      </w:r>
      <w:r>
        <w:rPr>
          <w:rFonts w:hint="eastAsia"/>
          <w:sz w:val="24"/>
          <w:lang w:val="en-US" w:eastAsia="zh-CN"/>
        </w:rPr>
        <w:t>连锁经营与管理</w:t>
      </w:r>
      <w:r>
        <w:rPr>
          <w:rFonts w:hint="eastAsia"/>
          <w:sz w:val="24"/>
        </w:rPr>
        <w:t>、</w:t>
      </w:r>
      <w:r>
        <w:rPr>
          <w:rFonts w:hint="eastAsia"/>
          <w:sz w:val="24"/>
          <w:lang w:val="en-US" w:eastAsia="zh-CN"/>
        </w:rPr>
        <w:t>营销技巧、网店运营、社群营销、</w:t>
      </w:r>
      <w:r>
        <w:rPr>
          <w:rFonts w:hint="eastAsia"/>
          <w:sz w:val="24"/>
        </w:rPr>
        <w:t>视频</w:t>
      </w:r>
      <w:r>
        <w:rPr>
          <w:rFonts w:hint="eastAsia"/>
          <w:sz w:val="24"/>
          <w:lang w:val="en-US" w:eastAsia="zh-CN"/>
        </w:rPr>
        <w:t>策划与</w:t>
      </w:r>
      <w:r>
        <w:rPr>
          <w:rFonts w:hint="eastAsia"/>
          <w:sz w:val="24"/>
        </w:rPr>
        <w:t>制作、直播电商等领域的内容。</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28AEEB22">
      <w:pPr>
        <w:snapToGrid w:val="0"/>
        <w:spacing w:line="360" w:lineRule="auto"/>
        <w:ind w:firstLine="480" w:firstLineChars="200"/>
        <w:contextualSpacing/>
        <w:rPr>
          <w:rFonts w:hint="eastAsia"/>
          <w:sz w:val="24"/>
        </w:rPr>
      </w:pPr>
      <w:r>
        <w:rPr>
          <w:rFonts w:hint="eastAsia"/>
          <w:sz w:val="24"/>
        </w:rPr>
        <w:t>实践性教学应贯穿于人才培养全过程。实践性教学主要包括实验、实习实训、毕业设计、社会实践活动等形式，公共基础课程和专业课程都要加强实践性教学。</w:t>
      </w:r>
    </w:p>
    <w:p w14:paraId="160A36B8">
      <w:pPr>
        <w:numPr>
          <w:ilvl w:val="0"/>
          <w:numId w:val="5"/>
        </w:numPr>
        <w:snapToGrid w:val="0"/>
        <w:spacing w:line="360" w:lineRule="auto"/>
        <w:ind w:firstLine="480" w:firstLineChars="200"/>
        <w:contextualSpacing/>
        <w:rPr>
          <w:sz w:val="24"/>
        </w:rPr>
      </w:pPr>
      <w:r>
        <w:rPr>
          <w:sz w:val="24"/>
        </w:rPr>
        <w:t>实训</w:t>
      </w:r>
    </w:p>
    <w:p w14:paraId="51FA2AAD">
      <w:pPr>
        <w:snapToGrid w:val="0"/>
        <w:spacing w:line="360" w:lineRule="auto"/>
        <w:ind w:firstLine="480" w:firstLineChars="200"/>
        <w:contextualSpacing/>
        <w:rPr>
          <w:sz w:val="24"/>
        </w:rPr>
      </w:pPr>
      <w:r>
        <w:rPr>
          <w:rFonts w:hint="eastAsia"/>
          <w:sz w:val="24"/>
        </w:rPr>
        <w:t>在校内外进行需求洞察、品牌策划、商务礼仪与沟通、数字营销等实训，包括单项技能实训、综合能力实训、生产性实训等。</w:t>
      </w:r>
    </w:p>
    <w:p w14:paraId="20E1E692">
      <w:pPr>
        <w:numPr>
          <w:ilvl w:val="0"/>
          <w:numId w:val="6"/>
        </w:numPr>
        <w:snapToGrid w:val="0"/>
        <w:spacing w:line="360" w:lineRule="auto"/>
        <w:ind w:firstLine="480" w:firstLineChars="200"/>
        <w:contextualSpacing/>
        <w:rPr>
          <w:sz w:val="24"/>
        </w:rPr>
      </w:pPr>
      <w:r>
        <w:rPr>
          <w:sz w:val="24"/>
        </w:rPr>
        <w:t>实习</w:t>
      </w:r>
    </w:p>
    <w:p w14:paraId="04C7076D">
      <w:pPr>
        <w:snapToGrid w:val="0"/>
        <w:spacing w:line="360" w:lineRule="auto"/>
        <w:ind w:firstLine="480" w:firstLineChars="200"/>
        <w:contextualSpacing/>
        <w:rPr>
          <w:rFonts w:hint="eastAsia"/>
          <w:sz w:val="24"/>
        </w:rPr>
      </w:pPr>
      <w:r>
        <w:rPr>
          <w:rFonts w:hint="eastAsia"/>
          <w:sz w:val="24"/>
        </w:rPr>
        <w:t>在批发、零售、商务服务、制造行业的企业进行市场营销、数字营销、品牌策划、销售与管理等实习，包括认识实习和岗位实习。学校应建立稳定、够用的实习基地，选派专门的实习指导教师和人员，组织开展专业对口实习，加强对学生实习的指导、管理和考核。</w:t>
      </w:r>
    </w:p>
    <w:p w14:paraId="2222A860">
      <w:pPr>
        <w:snapToGrid w:val="0"/>
        <w:spacing w:line="360" w:lineRule="auto"/>
        <w:ind w:firstLine="480" w:firstLineChars="200"/>
        <w:contextualSpacing/>
        <w:rPr>
          <w:rFonts w:hint="eastAsia"/>
          <w:sz w:val="24"/>
        </w:rPr>
      </w:pPr>
      <w:r>
        <w:rPr>
          <w:rFonts w:hint="eastAsia"/>
          <w:sz w:val="24"/>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40A21B76">
      <w:pPr>
        <w:snapToGrid w:val="0"/>
        <w:spacing w:line="360" w:lineRule="auto"/>
        <w:ind w:firstLine="480" w:firstLineChars="200"/>
        <w:contextualSpacing/>
        <w:rPr>
          <w:sz w:val="24"/>
        </w:rPr>
      </w:pP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23D6E8B3">
      <w:pPr>
        <w:snapToGrid w:val="0"/>
        <w:spacing w:line="360" w:lineRule="auto"/>
        <w:ind w:firstLine="480" w:firstLineChars="200"/>
        <w:contextualSpacing/>
        <w:rPr>
          <w:sz w:val="24"/>
        </w:rPr>
      </w:pPr>
      <w:r>
        <w:rPr>
          <w:rFonts w:hint="eastAsia"/>
          <w:sz w:val="24"/>
        </w:rPr>
        <w:t>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1721"/>
        <w:gridCol w:w="1777"/>
        <w:gridCol w:w="1667"/>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919"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62"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89"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919"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358</w:t>
            </w:r>
          </w:p>
        </w:tc>
        <w:tc>
          <w:tcPr>
            <w:tcW w:w="862"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330</w:t>
            </w:r>
          </w:p>
        </w:tc>
        <w:tc>
          <w:tcPr>
            <w:tcW w:w="889" w:type="pct"/>
            <w:shd w:val="clear" w:color="auto" w:fill="auto"/>
            <w:noWrap/>
            <w:vAlign w:val="center"/>
          </w:tcPr>
          <w:p w14:paraId="2A26FCF9">
            <w:pPr>
              <w:snapToGrid w:val="0"/>
              <w:spacing w:line="360" w:lineRule="auto"/>
              <w:jc w:val="center"/>
              <w:rPr>
                <w:b/>
                <w:sz w:val="24"/>
                <w:szCs w:val="28"/>
              </w:rPr>
            </w:pP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0"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192</w:t>
            </w:r>
          </w:p>
        </w:tc>
        <w:tc>
          <w:tcPr>
            <w:tcW w:w="919"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136</w:t>
            </w:r>
          </w:p>
        </w:tc>
        <w:tc>
          <w:tcPr>
            <w:tcW w:w="862"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56</w:t>
            </w:r>
          </w:p>
        </w:tc>
        <w:tc>
          <w:tcPr>
            <w:tcW w:w="889" w:type="pct"/>
            <w:shd w:val="clear" w:color="auto" w:fill="auto"/>
            <w:noWrap/>
            <w:vAlign w:val="center"/>
          </w:tcPr>
          <w:p w14:paraId="550155A1">
            <w:pPr>
              <w:snapToGrid w:val="0"/>
              <w:spacing w:line="360" w:lineRule="auto"/>
              <w:jc w:val="center"/>
              <w:rPr>
                <w:b/>
                <w:sz w:val="24"/>
                <w:szCs w:val="28"/>
              </w:rPr>
            </w:pP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0"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384</w:t>
            </w:r>
          </w:p>
        </w:tc>
        <w:tc>
          <w:tcPr>
            <w:tcW w:w="919"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220</w:t>
            </w:r>
          </w:p>
        </w:tc>
        <w:tc>
          <w:tcPr>
            <w:tcW w:w="862"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164</w:t>
            </w:r>
          </w:p>
        </w:tc>
        <w:tc>
          <w:tcPr>
            <w:tcW w:w="889" w:type="pct"/>
            <w:shd w:val="clear" w:color="auto" w:fill="auto"/>
            <w:noWrap/>
            <w:vAlign w:val="center"/>
          </w:tcPr>
          <w:p w14:paraId="1DC1F6D4">
            <w:pPr>
              <w:snapToGrid w:val="0"/>
              <w:spacing w:line="360" w:lineRule="auto"/>
              <w:jc w:val="center"/>
              <w:rPr>
                <w:b/>
                <w:sz w:val="24"/>
                <w:szCs w:val="28"/>
              </w:rPr>
            </w:pP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0"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919"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62"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89" w:type="pct"/>
            <w:shd w:val="clear" w:color="auto" w:fill="auto"/>
            <w:noWrap/>
            <w:vAlign w:val="center"/>
          </w:tcPr>
          <w:p w14:paraId="2BCF1B97">
            <w:pPr>
              <w:snapToGrid w:val="0"/>
              <w:spacing w:line="360" w:lineRule="auto"/>
              <w:jc w:val="center"/>
              <w:rPr>
                <w:b/>
                <w:sz w:val="24"/>
                <w:szCs w:val="28"/>
              </w:rPr>
            </w:pP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0"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480</w:t>
            </w:r>
          </w:p>
        </w:tc>
        <w:tc>
          <w:tcPr>
            <w:tcW w:w="919"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256</w:t>
            </w:r>
          </w:p>
        </w:tc>
        <w:tc>
          <w:tcPr>
            <w:tcW w:w="862"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224</w:t>
            </w:r>
          </w:p>
        </w:tc>
        <w:tc>
          <w:tcPr>
            <w:tcW w:w="889" w:type="pct"/>
            <w:shd w:val="clear" w:color="auto" w:fill="auto"/>
            <w:noWrap/>
            <w:vAlign w:val="center"/>
          </w:tcPr>
          <w:p w14:paraId="01CE14DD">
            <w:pPr>
              <w:snapToGrid w:val="0"/>
              <w:spacing w:line="360" w:lineRule="auto"/>
              <w:jc w:val="center"/>
              <w:rPr>
                <w:b/>
                <w:sz w:val="24"/>
                <w:szCs w:val="28"/>
              </w:rPr>
            </w:pP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984</w:t>
            </w:r>
          </w:p>
        </w:tc>
        <w:tc>
          <w:tcPr>
            <w:tcW w:w="919"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62"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984</w:t>
            </w:r>
          </w:p>
        </w:tc>
        <w:tc>
          <w:tcPr>
            <w:tcW w:w="889" w:type="pct"/>
            <w:shd w:val="clear" w:color="auto" w:fill="auto"/>
            <w:noWrap/>
            <w:vAlign w:val="center"/>
          </w:tcPr>
          <w:p w14:paraId="73283FD6">
            <w:pPr>
              <w:snapToGrid w:val="0"/>
              <w:spacing w:line="360" w:lineRule="auto"/>
              <w:jc w:val="center"/>
              <w:rPr>
                <w:rFonts w:hint="default" w:eastAsia="宋体"/>
                <w:b/>
                <w:sz w:val="24"/>
                <w:szCs w:val="28"/>
                <w:lang w:val="en-US" w:eastAsia="zh-CN"/>
              </w:rPr>
            </w:pP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2856</w:t>
            </w:r>
          </w:p>
        </w:tc>
        <w:tc>
          <w:tcPr>
            <w:tcW w:w="919"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1050</w:t>
            </w:r>
          </w:p>
        </w:tc>
        <w:tc>
          <w:tcPr>
            <w:tcW w:w="862"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1806</w:t>
            </w:r>
          </w:p>
        </w:tc>
        <w:tc>
          <w:tcPr>
            <w:tcW w:w="889" w:type="pct"/>
            <w:shd w:val="clear" w:color="auto" w:fill="auto"/>
            <w:noWrap/>
            <w:vAlign w:val="center"/>
          </w:tcPr>
          <w:p w14:paraId="7BAECF28">
            <w:pPr>
              <w:tabs>
                <w:tab w:val="center" w:pos="752"/>
                <w:tab w:val="center" w:pos="812"/>
              </w:tabs>
              <w:snapToGrid w:val="0"/>
              <w:spacing w:line="360" w:lineRule="auto"/>
              <w:jc w:val="center"/>
              <w:rPr>
                <w:rFonts w:hint="eastAsia" w:ascii="宋体" w:hAnsi="宋体"/>
                <w:vanish/>
                <w:color w:val="FF0000"/>
                <w:sz w:val="24"/>
                <w:szCs w:val="22"/>
              </w:rPr>
            </w:pPr>
            <w:r>
              <w:rPr>
                <w:rFonts w:hint="eastAsia"/>
                <w:b/>
                <w:sz w:val="24"/>
                <w:szCs w:val="28"/>
                <w:lang w:val="en-US" w:eastAsia="zh-CN"/>
              </w:rPr>
              <w:t>63.24%</w:t>
            </w:r>
            <w:r>
              <w:rPr>
                <w:rFonts w:hint="eastAsia" w:ascii="宋体" w:hAnsi="宋体"/>
                <w:vanish/>
                <w:color w:val="FF0000"/>
                <w:sz w:val="24"/>
                <w:szCs w:val="22"/>
                <w:lang w:val="en-US" w:eastAsia="zh-CN"/>
              </w:rPr>
              <w:t>6222222225</w:t>
            </w:r>
            <w:r>
              <w:rPr>
                <w:rFonts w:hint="eastAsia" w:ascii="宋体" w:hAnsi="宋体"/>
                <w:vanish/>
                <w:color w:val="FF0000"/>
                <w:sz w:val="24"/>
                <w:szCs w:val="22"/>
                <w:lang w:val="en-US" w:eastAsia="zh-CN"/>
              </w:rPr>
              <w:tab/>
            </w:r>
            <w:r>
              <w:rPr>
                <w:rFonts w:hint="eastAsia" w:ascii="宋体" w:hAnsi="宋体"/>
                <w:vanish/>
                <w:color w:val="FF0000"/>
                <w:sz w:val="24"/>
                <w:szCs w:val="22"/>
                <w:lang w:val="en-US" w:eastAsia="zh-CN"/>
              </w:rPr>
              <w:t>62</w:t>
            </w:r>
            <w:r>
              <w:rPr>
                <w:rFonts w:hint="eastAsia" w:ascii="宋体" w:hAnsi="宋体"/>
                <w:vanish/>
                <w:color w:val="FF0000"/>
                <w:sz w:val="24"/>
                <w:szCs w:val="22"/>
                <w:lang w:val="en-US" w:eastAsia="zh-CN"/>
              </w:rPr>
              <w:tab/>
            </w:r>
            <w:r>
              <w:rPr>
                <w:rFonts w:hint="eastAsia" w:ascii="宋体" w:hAnsi="宋体"/>
                <w:vanish/>
                <w:color w:val="FF0000"/>
                <w:sz w:val="24"/>
                <w:szCs w:val="22"/>
                <w:lang w:val="en-US" w:eastAsia="zh-CN"/>
              </w:rPr>
              <w:tab/>
            </w:r>
            <w:r>
              <w:rPr>
                <w:rFonts w:hint="eastAsia" w:ascii="宋体" w:hAnsi="宋体"/>
                <w:vanish/>
                <w:color w:val="FF0000"/>
                <w:sz w:val="24"/>
                <w:szCs w:val="22"/>
                <w:lang w:val="en-US" w:eastAsia="zh-CN"/>
              </w:rPr>
              <w:t>62.2862.2862</w:t>
            </w:r>
            <w:r>
              <w:rPr>
                <w:rFonts w:hint="eastAsia" w:ascii="宋体" w:hAnsi="宋体"/>
                <w:vanish/>
                <w:color w:val="FF0000"/>
                <w:sz w:val="24"/>
                <w:szCs w:val="22"/>
              </w:rPr>
              <w:t>要求＞</w:t>
            </w:r>
            <w:r>
              <w:rPr>
                <w:rFonts w:ascii="宋体" w:hAnsi="宋体"/>
                <w:vanish/>
                <w:color w:val="FF0000"/>
                <w:sz w:val="24"/>
                <w:szCs w:val="22"/>
              </w:rPr>
              <w:t>50%</w:t>
            </w:r>
          </w:p>
        </w:tc>
      </w:tr>
    </w:tbl>
    <w:p w14:paraId="49E00998">
      <w:pPr>
        <w:widowControl/>
        <w:jc w:val="left"/>
      </w:pPr>
      <w:r>
        <w:rPr>
          <w:sz w:val="24"/>
        </w:rPr>
        <w:br w:type="page"/>
      </w:r>
      <w:bookmarkStart w:id="17" w:name="_Toc197702701"/>
      <w:r>
        <w:t>教学计划进程表</w:t>
      </w:r>
      <w:bookmarkStart w:id="18" w:name="_Toc422736381"/>
    </w:p>
    <w:p w14:paraId="5C4A4853">
      <w:pPr>
        <w:pStyle w:val="3"/>
        <w:numPr>
          <w:ilvl w:val="0"/>
          <w:numId w:val="0"/>
        </w:numPr>
        <w:spacing w:line="360" w:lineRule="auto"/>
        <w:ind w:leftChars="-3"/>
        <w:rPr>
          <w:sz w:val="24"/>
          <w:szCs w:val="22"/>
        </w:rPr>
      </w:pPr>
      <w:r>
        <w:drawing>
          <wp:inline distT="0" distB="0" distL="114300" distR="114300">
            <wp:extent cx="5997575" cy="8845550"/>
            <wp:effectExtent l="0" t="0" r="3175"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997575" cy="8845550"/>
                    </a:xfrm>
                    <a:prstGeom prst="rect">
                      <a:avLst/>
                    </a:prstGeom>
                    <a:noFill/>
                    <a:ln>
                      <a:noFill/>
                    </a:ln>
                  </pic:spPr>
                </pic:pic>
              </a:graphicData>
            </a:graphic>
          </wp:inline>
        </w:drawing>
      </w:r>
      <w:bookmarkStart w:id="29" w:name="_GoBack"/>
      <w:bookmarkEnd w:id="29"/>
      <w:r>
        <w:rPr>
          <w:rFonts w:hint="eastAsia"/>
          <w:vanish/>
          <w:color w:val="FF0000"/>
          <w:sz w:val="24"/>
          <w:szCs w:val="22"/>
        </w:rPr>
        <w:t>在excel表中计算后复制粘贴进来）</w:t>
      </w:r>
      <w:bookmarkEnd w:id="17"/>
    </w:p>
    <w:bookmarkEnd w:id="3"/>
    <w:bookmarkEnd w:id="18"/>
    <w:p w14:paraId="39A7FEDA">
      <w:pPr>
        <w:pStyle w:val="3"/>
        <w:spacing w:line="360" w:lineRule="auto"/>
      </w:pPr>
      <w:bookmarkStart w:id="19" w:name="_Toc197702702"/>
      <w:bookmarkStart w:id="20" w:name="OLE_LINK2"/>
      <w:bookmarkStart w:id="21" w:name="OLE_LINK3"/>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2CA91C19">
      <w:pPr>
        <w:snapToGrid w:val="0"/>
        <w:spacing w:line="360" w:lineRule="auto"/>
        <w:ind w:firstLine="482" w:firstLineChars="200"/>
        <w:contextualSpacing/>
        <w:rPr>
          <w:b/>
          <w:bCs/>
          <w:sz w:val="24"/>
        </w:rPr>
      </w:pPr>
    </w:p>
    <w:p w14:paraId="3029FDBC">
      <w:pPr>
        <w:snapToGrid w:val="0"/>
        <w:spacing w:line="360" w:lineRule="auto"/>
        <w:ind w:firstLine="482" w:firstLineChars="200"/>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rPr>
        <w:t xml:space="preserve">     </w:t>
      </w:r>
      <w:r>
        <w:rPr>
          <w:sz w:val="24"/>
        </w:rPr>
        <w:t>技术、方法、思维以及实务操作类图书，</w:t>
      </w:r>
      <w:r>
        <w:rPr>
          <w:rFonts w:hint="eastAsia"/>
          <w:sz w:val="24"/>
        </w:rPr>
        <w:t xml:space="preserve">          </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MS Mincho">
    <w:altName w:val="Kozuka Mincho Pr6N M"/>
    <w:panose1 w:val="02020609040205080304"/>
    <w:charset w:val="80"/>
    <w:family w:val="modern"/>
    <w:pitch w:val="default"/>
    <w:sig w:usb0="00000000" w:usb1="00000000" w:usb2="08000012" w:usb3="00000000" w:csb0="0002009F" w:csb1="00000000"/>
  </w:font>
  <w:font w:name="Kozuka Mincho Pr6N M">
    <w:panose1 w:val="02020600000000000000"/>
    <w:charset w:val="80"/>
    <w:family w:val="auto"/>
    <w:pitch w:val="default"/>
    <w:sig w:usb0="000002D7" w:usb1="2AC71C11" w:usb2="00000012" w:usb3="00000000" w:csb0="2002009F" w:csb1="00000000"/>
  </w:font>
  <w:font w:name="Calibri Light">
    <w:panose1 w:val="020F03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9097CD"/>
    <w:multiLevelType w:val="singleLevel"/>
    <w:tmpl w:val="069097CD"/>
    <w:lvl w:ilvl="0" w:tentative="0">
      <w:start w:val="1"/>
      <w:numFmt w:val="decimal"/>
      <w:suff w:val="nothing"/>
      <w:lvlText w:val="（%1）"/>
      <w:lvlJc w:val="left"/>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80F2503"/>
    <w:multiLevelType w:val="singleLevel"/>
    <w:tmpl w:val="680F2503"/>
    <w:lvl w:ilvl="0" w:tentative="0">
      <w:start w:val="2"/>
      <w:numFmt w:val="decimal"/>
      <w:suff w:val="nothing"/>
      <w:lvlText w:val="（%1）"/>
      <w:lvlJc w:val="left"/>
    </w:lvl>
  </w:abstractNum>
  <w:abstractNum w:abstractNumId="5">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FC14BAE"/>
    <w:rsid w:val="18616F2E"/>
    <w:rsid w:val="19A74E14"/>
    <w:rsid w:val="2E005886"/>
    <w:rsid w:val="2F48454C"/>
    <w:rsid w:val="311923D4"/>
    <w:rsid w:val="32C959A4"/>
    <w:rsid w:val="67926EE2"/>
    <w:rsid w:val="688F348F"/>
    <w:rsid w:val="69E63F0E"/>
    <w:rsid w:val="6B3453A9"/>
    <w:rsid w:val="75C578AC"/>
    <w:rsid w:val="77FE2F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6985</Words>
  <Characters>7163</Characters>
  <Lines>49</Lines>
  <Paragraphs>13</Paragraphs>
  <TotalTime>2</TotalTime>
  <ScaleCrop>false</ScaleCrop>
  <LinksUpToDate>false</LinksUpToDate>
  <CharactersWithSpaces>7357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穿山甲</cp:lastModifiedBy>
  <cp:lastPrinted>2025-06-17T02:34:00Z</cp:lastPrinted>
  <dcterms:modified xsi:type="dcterms:W3CDTF">2025-06-27T09:55:06Z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eyJoZGlkIjoiMzYzZjhlZWUxZjJmMGM4NjEzN2MxZjQ4OWRmMTY3YmUiLCJ1c2VySWQiOiI0NjEzMjgxMTAifQ==</vt:lpwstr>
  </property>
  <property fmtid="{D5CDD505-2E9C-101B-9397-08002B2CF9AE}" pid="3" name="KSOProductBuildVer">
    <vt:lpwstr>2052-12.1.0.21541</vt:lpwstr>
  </property>
  <property fmtid="{D5CDD505-2E9C-101B-9397-08002B2CF9AE}" pid="4" name="ICV">
    <vt:lpwstr>D3191A344E5F47879B2002E195788C26_13</vt:lpwstr>
  </property>
</Properties>
</file>