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18758133"/>
      <w:bookmarkStart w:id="1" w:name="_Toc422736380"/>
      <w:bookmarkStart w:id="2" w:name="_Toc43608605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财经商贸学院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现代物流管理</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袁杰</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rPr>
                <w:rFonts w:hint="eastAsia" w:ascii="仿宋" w:hAnsi="仿宋" w:eastAsia="仿宋"/>
                <w:sz w:val="32"/>
                <w:szCs w:val="32"/>
              </w:rPr>
            </w:pP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rPr>
                <w:rFonts w:hint="eastAsia" w:ascii="仿宋" w:hAnsi="仿宋" w:eastAsia="仿宋"/>
                <w:sz w:val="32"/>
                <w:szCs w:val="32"/>
              </w:rPr>
            </w:pP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现代物流管理</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b/>
          <w:bCs/>
          <w:sz w:val="24"/>
          <w:szCs w:val="32"/>
          <w:lang w:eastAsia="zh-CN"/>
        </w:rPr>
        <w:t>现代</w:t>
      </w:r>
      <w:r>
        <w:rPr>
          <w:rFonts w:hint="eastAsia"/>
          <w:b/>
          <w:bCs/>
          <w:sz w:val="24"/>
          <w:szCs w:val="32"/>
          <w:lang w:val="en-US" w:eastAsia="zh-CN"/>
        </w:rPr>
        <w:t>物流管理</w:t>
      </w:r>
      <w:r>
        <w:rPr>
          <w:b/>
          <w:bCs/>
          <w:sz w:val="24"/>
          <w:szCs w:val="32"/>
        </w:rPr>
        <w:tab/>
      </w:r>
      <w:r>
        <w:rPr>
          <w:rFonts w:hint="eastAsia"/>
          <w:sz w:val="24"/>
          <w:szCs w:val="32"/>
        </w:rPr>
        <w:t>（</w:t>
      </w:r>
      <w:r>
        <w:rPr>
          <w:rFonts w:hint="eastAsia"/>
          <w:sz w:val="24"/>
          <w:szCs w:val="32"/>
          <w:lang w:val="en-US" w:eastAsia="zh-CN"/>
        </w:rPr>
        <w:t>530802</w:t>
      </w:r>
      <w:r>
        <w:rPr>
          <w:rFonts w:hint="eastAsia"/>
          <w:sz w:val="24"/>
          <w:szCs w:val="32"/>
        </w:rPr>
        <w:t>）</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3"/>
        <w:gridCol w:w="5848"/>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53" w:type="dxa"/>
            <w:vAlign w:val="center"/>
          </w:tcPr>
          <w:p w14:paraId="18925D17">
            <w:pPr>
              <w:snapToGrid w:val="0"/>
              <w:contextualSpacing/>
              <w:rPr>
                <w:sz w:val="24"/>
              </w:rPr>
            </w:pPr>
            <w:r>
              <w:rPr>
                <w:sz w:val="24"/>
              </w:rPr>
              <w:t>所属专业大类（代码）</w:t>
            </w:r>
          </w:p>
        </w:tc>
        <w:tc>
          <w:tcPr>
            <w:tcW w:w="5848" w:type="dxa"/>
            <w:vAlign w:val="center"/>
          </w:tcPr>
          <w:p w14:paraId="420A095B">
            <w:pPr>
              <w:snapToGrid w:val="0"/>
              <w:contextualSpacing/>
              <w:rPr>
                <w:rFonts w:hint="default" w:eastAsia="宋体"/>
                <w:sz w:val="24"/>
                <w:lang w:val="en-US" w:eastAsia="zh-CN"/>
              </w:rPr>
            </w:pPr>
            <w:r>
              <w:rPr>
                <w:rFonts w:hint="eastAsia"/>
                <w:sz w:val="24"/>
                <w:lang w:val="en-US" w:eastAsia="zh-CN"/>
              </w:rPr>
              <w:t>53</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53" w:type="dxa"/>
            <w:vAlign w:val="center"/>
          </w:tcPr>
          <w:p w14:paraId="5C3DC068">
            <w:pPr>
              <w:snapToGrid w:val="0"/>
              <w:contextualSpacing/>
              <w:rPr>
                <w:sz w:val="24"/>
              </w:rPr>
            </w:pPr>
            <w:r>
              <w:rPr>
                <w:sz w:val="24"/>
              </w:rPr>
              <w:t>所属专业类（代码）</w:t>
            </w:r>
          </w:p>
        </w:tc>
        <w:tc>
          <w:tcPr>
            <w:tcW w:w="5848" w:type="dxa"/>
            <w:vAlign w:val="center"/>
          </w:tcPr>
          <w:p w14:paraId="480B358A">
            <w:pPr>
              <w:snapToGrid w:val="0"/>
              <w:contextualSpacing/>
              <w:rPr>
                <w:rFonts w:hint="default" w:eastAsia="宋体"/>
                <w:sz w:val="24"/>
                <w:lang w:val="en-US" w:eastAsia="zh-CN"/>
              </w:rPr>
            </w:pPr>
            <w:r>
              <w:rPr>
                <w:rFonts w:hint="eastAsia"/>
                <w:sz w:val="24"/>
                <w:lang w:val="en-US" w:eastAsia="zh-CN"/>
              </w:rPr>
              <w:t>5308</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53" w:type="dxa"/>
            <w:vAlign w:val="center"/>
          </w:tcPr>
          <w:p w14:paraId="53210113">
            <w:pPr>
              <w:snapToGrid w:val="0"/>
              <w:contextualSpacing/>
              <w:rPr>
                <w:sz w:val="24"/>
              </w:rPr>
            </w:pPr>
            <w:r>
              <w:rPr>
                <w:sz w:val="24"/>
              </w:rPr>
              <w:t>对应行业（代码）</w:t>
            </w:r>
          </w:p>
        </w:tc>
        <w:tc>
          <w:tcPr>
            <w:tcW w:w="5848" w:type="dxa"/>
            <w:shd w:val="clear"/>
            <w:vAlign w:val="top"/>
          </w:tcPr>
          <w:p w14:paraId="6307F684">
            <w:pPr>
              <w:snapToGrid w:val="0"/>
              <w:contextualSpacing/>
              <w:rPr>
                <w:rFonts w:hint="eastAsia"/>
                <w:sz w:val="24"/>
                <w:lang w:val="en-US" w:eastAsia="en-US"/>
              </w:rPr>
            </w:pPr>
            <w:r>
              <w:rPr>
                <w:sz w:val="24"/>
              </w:rPr>
              <w:t>制造业（C）、交通运输、仓储和邮政业（G）、商务服务业（72）</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53" w:type="dxa"/>
            <w:vAlign w:val="center"/>
          </w:tcPr>
          <w:p w14:paraId="5B5074D0">
            <w:pPr>
              <w:snapToGrid w:val="0"/>
              <w:contextualSpacing/>
              <w:rPr>
                <w:rFonts w:hint="eastAsia"/>
                <w:sz w:val="24"/>
                <w:lang w:val="en-US" w:eastAsia="zh-CN"/>
              </w:rPr>
            </w:pPr>
            <w:r>
              <w:rPr>
                <w:rFonts w:hint="eastAsia"/>
                <w:sz w:val="24"/>
                <w:lang w:val="en-US" w:eastAsia="zh-CN"/>
              </w:rPr>
              <w:t>主要职业类别（代码）</w:t>
            </w:r>
          </w:p>
        </w:tc>
        <w:tc>
          <w:tcPr>
            <w:tcW w:w="5848" w:type="dxa"/>
            <w:vAlign w:val="center"/>
          </w:tcPr>
          <w:p w14:paraId="7AF362CB">
            <w:pPr>
              <w:snapToGrid w:val="0"/>
              <w:contextualSpacing/>
              <w:rPr>
                <w:sz w:val="24"/>
              </w:rPr>
            </w:pPr>
            <w:r>
              <w:rPr>
                <w:sz w:val="24"/>
              </w:rPr>
              <w:t>装卸搬运和运输代理服务人员（4-02-05）、</w:t>
            </w:r>
          </w:p>
          <w:p w14:paraId="3F1038C3">
            <w:pPr>
              <w:snapToGrid w:val="0"/>
              <w:contextualSpacing/>
              <w:rPr>
                <w:rFonts w:hint="eastAsia"/>
                <w:sz w:val="24"/>
                <w:lang w:val="en-US" w:eastAsia="zh-CN"/>
              </w:rPr>
            </w:pPr>
            <w:r>
              <w:rPr>
                <w:sz w:val="24"/>
              </w:rPr>
              <w:t>仓储物流服务人员（4-02-06）、邮政和快递服务人员（4-02-07）</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153" w:type="dxa"/>
            <w:vAlign w:val="center"/>
          </w:tcPr>
          <w:p w14:paraId="0133C974">
            <w:pPr>
              <w:snapToGrid w:val="0"/>
              <w:contextualSpacing/>
              <w:rPr>
                <w:sz w:val="24"/>
              </w:rPr>
            </w:pPr>
            <w:r>
              <w:rPr>
                <w:sz w:val="24"/>
              </w:rPr>
              <w:t>主要岗位（群）或技术领域</w:t>
            </w:r>
          </w:p>
        </w:tc>
        <w:tc>
          <w:tcPr>
            <w:tcW w:w="5848" w:type="dxa"/>
            <w:shd w:val="clear"/>
            <w:vAlign w:val="top"/>
          </w:tcPr>
          <w:p w14:paraId="47987F36">
            <w:pPr>
              <w:snapToGrid w:val="0"/>
              <w:contextualSpacing/>
              <w:rPr>
                <w:sz w:val="24"/>
              </w:rPr>
            </w:pPr>
            <w:r>
              <w:rPr>
                <w:sz w:val="24"/>
              </w:rPr>
              <w:t>物流项目运营主管、物流销售主管、物流数据分析员、</w:t>
            </w:r>
          </w:p>
          <w:p w14:paraId="137BC8FA">
            <w:pPr>
              <w:snapToGrid w:val="0"/>
              <w:contextualSpacing/>
              <w:rPr>
                <w:rFonts w:hint="eastAsia"/>
                <w:sz w:val="24"/>
                <w:lang w:val="en-US" w:eastAsia="en-US"/>
              </w:rPr>
            </w:pPr>
            <w:r>
              <w:rPr>
                <w:sz w:val="24"/>
              </w:rPr>
              <w:t>国际货运主管……</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153" w:type="dxa"/>
            <w:vAlign w:val="center"/>
          </w:tcPr>
          <w:p w14:paraId="299575DC">
            <w:pPr>
              <w:snapToGrid w:val="0"/>
              <w:contextualSpacing/>
              <w:rPr>
                <w:sz w:val="24"/>
              </w:rPr>
            </w:pPr>
            <w:r>
              <w:rPr>
                <w:sz w:val="24"/>
              </w:rPr>
              <w:t>职业类证书</w:t>
            </w:r>
          </w:p>
        </w:tc>
        <w:tc>
          <w:tcPr>
            <w:tcW w:w="5848" w:type="dxa"/>
            <w:vAlign w:val="center"/>
          </w:tcPr>
          <w:p w14:paraId="4B484C0B">
            <w:pPr>
              <w:snapToGrid w:val="0"/>
              <w:contextualSpacing/>
              <w:rPr>
                <w:rFonts w:hint="eastAsia"/>
                <w:sz w:val="24"/>
                <w:lang w:val="en-US" w:eastAsia="zh-CN"/>
              </w:rPr>
            </w:pPr>
            <w:r>
              <w:rPr>
                <w:sz w:val="24"/>
              </w:rPr>
              <w:t>物流管理、供应链运营……</w:t>
            </w:r>
          </w:p>
        </w:tc>
      </w:tr>
    </w:tbl>
    <w:p w14:paraId="5D1B5EC9">
      <w:pPr>
        <w:pStyle w:val="3"/>
        <w:spacing w:line="360" w:lineRule="auto"/>
      </w:pPr>
      <w:bookmarkStart w:id="7" w:name="_Toc197702691"/>
      <w:r>
        <w:t>培养目</w:t>
      </w:r>
      <w:r>
        <w:rPr>
          <w:rFonts w:hint="eastAsia"/>
          <w:lang w:val="en-US" w:eastAsia="zh-CN"/>
        </w:rPr>
        <w:t>标</w:t>
      </w:r>
    </w:p>
    <w:bookmarkEnd w:id="7"/>
    <w:p w14:paraId="67027C01">
      <w:pPr>
        <w:snapToGrid w:val="0"/>
        <w:spacing w:line="360" w:lineRule="auto"/>
        <w:ind w:firstLine="480" w:firstLineChars="200"/>
        <w:contextualSpacing/>
        <w:rPr>
          <w:rFonts w:hint="eastAsia"/>
          <w:sz w:val="24"/>
        </w:rPr>
      </w:pPr>
      <w:r>
        <w:rPr>
          <w:rFonts w:hint="eastAsia"/>
          <w:sz w:val="24"/>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制造业、交通运输、仓储和邮政业、商务服务业的物流项目运营主管、物流销售主管、物流数据分析员、国际货运主管等岗位（群），能够从事智慧仓配、物流运输、物流数据分析、物流系统规划、物流项目运营等工作的高技能人才。</w:t>
      </w:r>
    </w:p>
    <w:p w14:paraId="3029AB92">
      <w:pPr>
        <w:pStyle w:val="3"/>
        <w:spacing w:line="360" w:lineRule="auto"/>
      </w:pPr>
      <w:bookmarkStart w:id="8" w:name="_Toc197702692"/>
      <w:r>
        <w:t>培养</w:t>
      </w:r>
      <w:r>
        <w:rPr>
          <w:rFonts w:hint="eastAsia"/>
        </w:rPr>
        <w:t>规格</w:t>
      </w:r>
    </w:p>
    <w:p w14:paraId="160BD18F">
      <w:pPr>
        <w:snapToGrid w:val="0"/>
        <w:spacing w:line="360" w:lineRule="auto"/>
        <w:ind w:firstLine="480" w:firstLineChars="200"/>
        <w:contextualSpacing/>
        <w:rPr>
          <w:rFonts w:hint="eastAsia"/>
          <w:sz w:val="24"/>
        </w:rPr>
      </w:pPr>
      <w:r>
        <w:rPr>
          <w:rFonts w:hint="eastAsia"/>
          <w:sz w:val="24"/>
        </w:rPr>
        <w:t>本专业学生应在系统学习本专业知识并完成有关实习实训基础上，全面提升知识、能力、素质，掌握并实际运用岗位（群）需要的专业核心技术技能，实现德智体美劳全面发展，总体上须达到以下要求：</w:t>
      </w:r>
    </w:p>
    <w:p w14:paraId="427B57F7">
      <w:pPr>
        <w:snapToGrid w:val="0"/>
        <w:spacing w:line="360" w:lineRule="auto"/>
        <w:ind w:firstLine="480" w:firstLineChars="200"/>
        <w:contextualSpacing/>
        <w:rPr>
          <w:rFonts w:hint="eastAsia"/>
          <w:sz w:val="24"/>
        </w:rPr>
      </w:pPr>
      <w:r>
        <w:rPr>
          <w:rFonts w:hint="eastAsia"/>
          <w:sz w:val="24"/>
        </w:rPr>
        <w:t>（1）坚定拥护中国共产党领导和中国特色社会主义制度，以习近平新时代中国特色社会主义思想为指导，践行社会主义核心价值观，具有坚定的理想信念、深厚的爱国情感和中华民族自豪感；</w:t>
      </w:r>
    </w:p>
    <w:p w14:paraId="76C91A9B">
      <w:pPr>
        <w:snapToGrid w:val="0"/>
        <w:spacing w:line="360" w:lineRule="auto"/>
        <w:ind w:firstLine="480" w:firstLineChars="200"/>
        <w:contextualSpacing/>
        <w:rPr>
          <w:rFonts w:hint="eastAsia"/>
          <w:sz w:val="24"/>
        </w:rPr>
      </w:pPr>
      <w:r>
        <w:rPr>
          <w:rFonts w:hint="eastAsia"/>
          <w:sz w:val="24"/>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3BDA9FF1">
      <w:pPr>
        <w:snapToGrid w:val="0"/>
        <w:spacing w:line="360" w:lineRule="auto"/>
        <w:ind w:firstLine="480" w:firstLineChars="200"/>
        <w:contextualSpacing/>
        <w:rPr>
          <w:rFonts w:hint="eastAsia"/>
          <w:sz w:val="24"/>
        </w:rPr>
      </w:pPr>
      <w:r>
        <w:rPr>
          <w:rFonts w:hint="eastAsia"/>
          <w:sz w:val="24"/>
        </w:rPr>
        <w:t>（3）掌握支撑本专业学习和可持续发展必备的语文、数学、外语（英语等）、信息技术等文化基础知识，具有良好的人文素养与科学素养，具备职业生涯规划能力；</w:t>
      </w:r>
    </w:p>
    <w:p w14:paraId="7B46A91E">
      <w:pPr>
        <w:snapToGrid w:val="0"/>
        <w:spacing w:line="360" w:lineRule="auto"/>
        <w:ind w:firstLine="480" w:firstLineChars="200"/>
        <w:contextualSpacing/>
        <w:rPr>
          <w:rFonts w:hint="eastAsia"/>
          <w:sz w:val="24"/>
        </w:rPr>
      </w:pPr>
      <w:r>
        <w:rPr>
          <w:rFonts w:hint="eastAsia"/>
          <w:sz w:val="24"/>
        </w:rPr>
        <w:t>（4）具有良好的语言表达能力、文字表达能力、沟通合作能力，具有较强的集体意识和团队合作意识，学习 1 门外语并结合本专业加以运用；</w:t>
      </w:r>
    </w:p>
    <w:p w14:paraId="00A71348">
      <w:pPr>
        <w:snapToGrid w:val="0"/>
        <w:spacing w:line="360" w:lineRule="auto"/>
        <w:ind w:firstLine="480" w:firstLineChars="200"/>
        <w:contextualSpacing/>
        <w:rPr>
          <w:rFonts w:hint="eastAsia"/>
          <w:sz w:val="24"/>
        </w:rPr>
      </w:pPr>
      <w:r>
        <w:rPr>
          <w:rFonts w:hint="eastAsia"/>
          <w:sz w:val="24"/>
        </w:rPr>
        <w:t>（5）掌握现代物流作业基本流程和供应链的基础理论知识，具备现代物流仓储、配送、运输与供应链业务运营与管理的能力，能够完成物流与供应链业务的执行；</w:t>
      </w:r>
    </w:p>
    <w:p w14:paraId="70AAB282">
      <w:pPr>
        <w:snapToGrid w:val="0"/>
        <w:spacing w:line="360" w:lineRule="auto"/>
        <w:ind w:firstLine="480" w:firstLineChars="200"/>
        <w:contextualSpacing/>
        <w:rPr>
          <w:rFonts w:hint="eastAsia"/>
          <w:sz w:val="24"/>
        </w:rPr>
      </w:pPr>
      <w:r>
        <w:rPr>
          <w:rFonts w:hint="eastAsia"/>
          <w:sz w:val="24"/>
        </w:rPr>
        <w:t>（6）掌握物流信息技术的基础知识和技能，具备仓储管理系统、运输管理系统等系统的应用能力，能够在系统支持下完成仓储方案执行、运输调度计划制订等工作；</w:t>
      </w:r>
    </w:p>
    <w:p w14:paraId="28432984">
      <w:pPr>
        <w:snapToGrid w:val="0"/>
        <w:spacing w:line="360" w:lineRule="auto"/>
        <w:ind w:firstLine="480" w:firstLineChars="200"/>
        <w:contextualSpacing/>
        <w:rPr>
          <w:rFonts w:hint="eastAsia"/>
          <w:sz w:val="24"/>
        </w:rPr>
      </w:pPr>
      <w:r>
        <w:rPr>
          <w:rFonts w:hint="eastAsia"/>
          <w:sz w:val="24"/>
        </w:rPr>
        <w:t>（7）掌握大数据、人工智能等的基础知识，具备数据采集、清洗、可视化能力，能够制定相关的物流绩效指标，利用数据进行物流绩效评价与改进；</w:t>
      </w:r>
    </w:p>
    <w:p w14:paraId="410573F5">
      <w:pPr>
        <w:snapToGrid w:val="0"/>
        <w:spacing w:line="360" w:lineRule="auto"/>
        <w:ind w:firstLine="480" w:firstLineChars="200"/>
        <w:contextualSpacing/>
        <w:rPr>
          <w:rFonts w:hint="eastAsia"/>
          <w:sz w:val="24"/>
        </w:rPr>
      </w:pPr>
      <w:r>
        <w:rPr>
          <w:rFonts w:hint="eastAsia"/>
          <w:sz w:val="24"/>
        </w:rPr>
        <w:t>（8）掌握物流系统规划与设计的基础知识，具备物流业务流程设计、功能平面布局设计、物流动线设计的能力，能够辅助完成规划设计工作；</w:t>
      </w:r>
    </w:p>
    <w:p w14:paraId="7198DCAE">
      <w:pPr>
        <w:snapToGrid w:val="0"/>
        <w:spacing w:line="360" w:lineRule="auto"/>
        <w:ind w:firstLine="480" w:firstLineChars="200"/>
        <w:contextualSpacing/>
        <w:rPr>
          <w:rFonts w:hint="eastAsia"/>
          <w:sz w:val="24"/>
        </w:rPr>
      </w:pPr>
      <w:r>
        <w:rPr>
          <w:rFonts w:hint="eastAsia"/>
          <w:sz w:val="24"/>
        </w:rPr>
        <w:t>（9）掌握物流项目运营的基本方法，具备物流项目开发、执行、跟踪的基础能力，能够从事物流市场开发、客户维护等项目运营工作；</w:t>
      </w:r>
    </w:p>
    <w:p w14:paraId="69A15D4A">
      <w:pPr>
        <w:snapToGrid w:val="0"/>
        <w:spacing w:line="360" w:lineRule="auto"/>
        <w:ind w:firstLine="480" w:firstLineChars="200"/>
        <w:contextualSpacing/>
        <w:rPr>
          <w:rFonts w:hint="eastAsia"/>
          <w:sz w:val="24"/>
        </w:rPr>
      </w:pPr>
      <w:r>
        <w:rPr>
          <w:rFonts w:hint="eastAsia"/>
          <w:sz w:val="24"/>
        </w:rPr>
        <w:t>（10）了解跨文化商业沟通基础知识，初步具备物流业务的双语沟通与交流能力，能够从事国际货运代理、物流全过程追溯等工作；</w:t>
      </w:r>
    </w:p>
    <w:p w14:paraId="70E06505">
      <w:pPr>
        <w:snapToGrid w:val="0"/>
        <w:spacing w:line="360" w:lineRule="auto"/>
        <w:ind w:firstLine="480" w:firstLineChars="200"/>
        <w:contextualSpacing/>
        <w:rPr>
          <w:rFonts w:hint="eastAsia"/>
          <w:sz w:val="24"/>
        </w:rPr>
      </w:pPr>
      <w:r>
        <w:rPr>
          <w:rFonts w:hint="eastAsia"/>
          <w:sz w:val="24"/>
        </w:rPr>
        <w:t>（11）掌握信息技术基础知识，具有适应本行业数字化和智能化发展需求的数字技能；</w:t>
      </w:r>
    </w:p>
    <w:p w14:paraId="35232D40">
      <w:pPr>
        <w:snapToGrid w:val="0"/>
        <w:spacing w:line="360" w:lineRule="auto"/>
        <w:ind w:firstLine="480" w:firstLineChars="200"/>
        <w:contextualSpacing/>
        <w:rPr>
          <w:rFonts w:hint="eastAsia"/>
          <w:sz w:val="24"/>
        </w:rPr>
      </w:pPr>
      <w:r>
        <w:rPr>
          <w:rFonts w:hint="eastAsia"/>
          <w:sz w:val="24"/>
        </w:rPr>
        <w:t>（12）具有探究学习、终身学习和可持续发展的能力，具有整合知识和综合运用知识分析问题和解决问题的能力；</w:t>
      </w:r>
    </w:p>
    <w:p w14:paraId="60544E82">
      <w:pPr>
        <w:snapToGrid w:val="0"/>
        <w:spacing w:line="360" w:lineRule="auto"/>
        <w:ind w:firstLine="480" w:firstLineChars="200"/>
        <w:contextualSpacing/>
        <w:rPr>
          <w:rFonts w:hint="eastAsia"/>
          <w:sz w:val="24"/>
        </w:rPr>
      </w:pPr>
      <w:r>
        <w:rPr>
          <w:rFonts w:hint="eastAsia"/>
          <w:sz w:val="24"/>
        </w:rPr>
        <w:t>（13）掌握身体运动的基本知识和至少 1 项体育运动技能，达到国家大学生体质健康测试合格标准，养成良好的运动习惯、卫生习惯和行为习惯；具备一定的心理调适能力；</w:t>
      </w:r>
    </w:p>
    <w:p w14:paraId="0F46A9DD">
      <w:pPr>
        <w:snapToGrid w:val="0"/>
        <w:spacing w:line="360" w:lineRule="auto"/>
        <w:ind w:firstLine="480" w:firstLineChars="200"/>
        <w:contextualSpacing/>
        <w:rPr>
          <w:rFonts w:hint="eastAsia"/>
          <w:sz w:val="24"/>
        </w:rPr>
      </w:pPr>
      <w:r>
        <w:rPr>
          <w:rFonts w:hint="eastAsia"/>
          <w:sz w:val="24"/>
        </w:rPr>
        <w:t>（14）掌握必备的美育知识，具有一定的文化修养、审美能力，形成至少 1 项艺术特长或爱好；</w:t>
      </w:r>
    </w:p>
    <w:p w14:paraId="30443570">
      <w:pPr>
        <w:snapToGrid w:val="0"/>
        <w:spacing w:line="360" w:lineRule="auto"/>
        <w:ind w:firstLine="480" w:firstLineChars="200"/>
        <w:contextualSpacing/>
        <w:rPr>
          <w:rFonts w:hint="eastAsia"/>
          <w:sz w:val="24"/>
        </w:rPr>
      </w:pPr>
      <w:r>
        <w:rPr>
          <w:rFonts w:hint="eastAsia"/>
          <w:sz w:val="24"/>
        </w:rPr>
        <w:t>（15）树立正确的劳动观，尊重劳动，热爱劳动，具备与本专业职业发展相适应的劳动素养，弘扬劳模精神、劳动精神、工匠精神，弘扬劳动光荣、技能宝贵、创造伟大的时代风尚。</w:t>
      </w:r>
    </w:p>
    <w:bookmarkEnd w:id="8"/>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28A8135A">
      <w:pPr>
        <w:snapToGrid w:val="0"/>
        <w:spacing w:line="360" w:lineRule="auto"/>
        <w:ind w:firstLine="480" w:firstLineChars="200"/>
        <w:contextualSpacing/>
        <w:rPr>
          <w:rFonts w:hint="eastAsia"/>
          <w:sz w:val="24"/>
        </w:rPr>
      </w:pPr>
      <w:r>
        <w:rPr>
          <w:rFonts w:hint="eastAsia"/>
          <w:sz w:val="24"/>
        </w:rPr>
        <w:t>按照国家有关规定开齐开足公共基础课程。</w:t>
      </w:r>
    </w:p>
    <w:p w14:paraId="3D1E7598">
      <w:pPr>
        <w:snapToGrid w:val="0"/>
        <w:spacing w:line="360" w:lineRule="auto"/>
        <w:ind w:firstLine="480" w:firstLineChars="200"/>
        <w:contextualSpacing/>
        <w:rPr>
          <w:rFonts w:hint="eastAsia"/>
          <w:sz w:val="24"/>
        </w:rPr>
      </w:pPr>
      <w:r>
        <w:rPr>
          <w:rFonts w:hint="eastAsia"/>
          <w:sz w:val="24"/>
        </w:rPr>
        <w:t>应将思想政治理论、体育、军事理论与军训、心理健康教育、劳动教育等列为公共基础必修课程。将马克思主义理论类课程、党史国史、中华优秀传统文化、语文、数学、公共外语、国家安全教育、信息技术、艺术、职业发展与就业指导、创新创业教育、商业文化等列为必修课程或限定选修课程。</w:t>
      </w:r>
    </w:p>
    <w:p w14:paraId="1EE7E5ED">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2A8D1118">
      <w:pPr>
        <w:snapToGrid w:val="0"/>
        <w:spacing w:line="360" w:lineRule="auto"/>
        <w:ind w:firstLine="480" w:firstLineChars="200"/>
        <w:contextualSpacing/>
        <w:rPr>
          <w:rFonts w:hint="eastAsia"/>
          <w:sz w:val="24"/>
        </w:rPr>
      </w:pPr>
      <w:r>
        <w:rPr>
          <w:rFonts w:hint="eastAsia"/>
          <w:sz w:val="24"/>
        </w:rPr>
        <w:t>一般包括专业基础课程、专业核心课程和专业拓展课程。专业基础课程是需要前置学习的基础性理论知识和技能构成的课程，是为专业核心课程提供理论和技能支撑的基础课程； 专业核心课程是根据岗位工作内容、典型工作任务设置的课程，是培养核心职业能力的主干课程；专业拓展课程是根据学生发展需求横向拓展和纵向深化的课程，是提升综合职业能力的延展课程。</w:t>
      </w:r>
    </w:p>
    <w:p w14:paraId="495A953C">
      <w:pPr>
        <w:snapToGrid w:val="0"/>
        <w:spacing w:line="360" w:lineRule="auto"/>
        <w:ind w:firstLine="480" w:firstLineChars="200"/>
        <w:contextualSpacing/>
        <w:rPr>
          <w:rFonts w:hint="eastAsia"/>
          <w:sz w:val="24"/>
          <w:lang w:eastAsia="zh-CN"/>
        </w:rPr>
      </w:pPr>
      <w:r>
        <w:rPr>
          <w:rFonts w:hint="eastAsia"/>
          <w:sz w:val="24"/>
        </w:rPr>
        <w:t>学校应结合区域/行业实际、办学定位和人才培养需要自主确定课程，进行模块化课程设计，依托体现新方法、新技术、新工艺、新标准的真实生产项目和典型工作任务等，开展项目式、情境式教学，结合人工智能等技术实施课程教学的数字化转型。有条件的专业，可结合教学实际，探索创新课程体系</w:t>
      </w:r>
      <w:r>
        <w:rPr>
          <w:rFonts w:hint="eastAsia"/>
          <w:sz w:val="24"/>
          <w:lang w:eastAsia="zh-CN"/>
        </w:rPr>
        <w:t>。</w:t>
      </w:r>
    </w:p>
    <w:p w14:paraId="416C766F">
      <w:pPr>
        <w:snapToGrid w:val="0"/>
        <w:spacing w:line="360" w:lineRule="auto"/>
        <w:ind w:firstLine="480" w:firstLineChars="200"/>
        <w:contextualSpacing/>
        <w:rPr>
          <w:sz w:val="24"/>
        </w:rPr>
      </w:pPr>
      <w:r>
        <w:rPr>
          <w:sz w:val="24"/>
        </w:rPr>
        <w:t>（1）专业基础课程</w:t>
      </w:r>
    </w:p>
    <w:p w14:paraId="371E6035">
      <w:pPr>
        <w:snapToGrid w:val="0"/>
        <w:spacing w:line="360" w:lineRule="auto"/>
        <w:ind w:firstLine="480" w:firstLineChars="200"/>
        <w:contextualSpacing/>
        <w:rPr>
          <w:sz w:val="24"/>
        </w:rPr>
      </w:pPr>
      <w:r>
        <w:rPr>
          <w:rFonts w:hint="eastAsia"/>
          <w:sz w:val="24"/>
        </w:rPr>
        <w:t>主要包括：</w:t>
      </w:r>
      <w:r>
        <w:rPr>
          <w:rFonts w:hint="eastAsia"/>
          <w:sz w:val="24"/>
          <w:lang w:val="en-US" w:eastAsia="zh-CN"/>
        </w:rPr>
        <w:t>现代物流基础、网络营销</w:t>
      </w:r>
      <w:r>
        <w:rPr>
          <w:rFonts w:hint="eastAsia"/>
          <w:sz w:val="24"/>
        </w:rPr>
        <w:t>、管理学基础、</w:t>
      </w:r>
      <w:r>
        <w:rPr>
          <w:rFonts w:hint="eastAsia"/>
          <w:sz w:val="24"/>
          <w:lang w:val="en-US" w:eastAsia="zh-CN"/>
        </w:rPr>
        <w:t>经济法</w:t>
      </w:r>
      <w:r>
        <w:rPr>
          <w:rFonts w:hint="eastAsia"/>
          <w:sz w:val="24"/>
        </w:rPr>
        <w:t>领域的内容。</w:t>
      </w:r>
    </w:p>
    <w:p w14:paraId="79086925">
      <w:pPr>
        <w:snapToGrid w:val="0"/>
        <w:spacing w:line="360" w:lineRule="auto"/>
        <w:ind w:firstLine="480" w:firstLineChars="200"/>
        <w:contextualSpacing/>
        <w:rPr>
          <w:sz w:val="24"/>
        </w:rPr>
      </w:pPr>
      <w:r>
        <w:rPr>
          <w:sz w:val="24"/>
        </w:rPr>
        <w:t>（2）专业核心课程</w:t>
      </w:r>
    </w:p>
    <w:p w14:paraId="5579F5C1">
      <w:pPr>
        <w:snapToGrid w:val="0"/>
        <w:spacing w:line="360" w:lineRule="auto"/>
        <w:ind w:firstLine="480" w:firstLineChars="200"/>
        <w:contextualSpacing/>
      </w:pPr>
      <w:r>
        <w:rPr>
          <w:rFonts w:hint="eastAsia"/>
          <w:sz w:val="24"/>
        </w:rPr>
        <w:t>主要包括：</w:t>
      </w:r>
      <w:r>
        <w:rPr>
          <w:rFonts w:hint="eastAsia"/>
          <w:sz w:val="24"/>
          <w:lang w:val="en-US" w:eastAsia="zh-CN"/>
        </w:rPr>
        <w:t>智慧运输运营、采购与供应管理、供应链管理、智慧仓配运营、国际货运代理实务、物流成本与绩效管理</w:t>
      </w:r>
      <w:r>
        <w:rPr>
          <w:rFonts w:hint="eastAsia"/>
          <w:sz w:val="24"/>
          <w:lang w:eastAsia="zh-CN"/>
        </w:rPr>
        <w:t>。</w:t>
      </w:r>
    </w:p>
    <w:p w14:paraId="4AEEC4DA">
      <w:pPr>
        <w:snapToGrid w:val="0"/>
        <w:ind w:firstLine="420" w:firstLineChars="200"/>
        <w:contextualSpacing/>
      </w:pPr>
    </w:p>
    <w:p w14:paraId="136D6C5C">
      <w:pPr>
        <w:snapToGrid w:val="0"/>
        <w:ind w:firstLine="422" w:firstLineChars="200"/>
        <w:contextualSpacing/>
        <w:jc w:val="center"/>
        <w:rPr>
          <w:rFonts w:hint="eastAsia"/>
          <w:b/>
          <w:bCs/>
        </w:rPr>
      </w:pPr>
      <w:r>
        <w:rPr>
          <w:rFonts w:hint="eastAsia"/>
          <w:b/>
          <w:bCs/>
        </w:rPr>
        <w:t>专业核心课程主要教学内容与要求</w:t>
      </w:r>
    </w:p>
    <w:tbl>
      <w:tblPr>
        <w:tblStyle w:val="19"/>
        <w:tblW w:w="0" w:type="auto"/>
        <w:tblInd w:w="14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67"/>
        <w:gridCol w:w="1225"/>
        <w:gridCol w:w="2863"/>
        <w:gridCol w:w="3943"/>
      </w:tblGrid>
      <w:tr w14:paraId="15EDE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trPr>
        <w:tc>
          <w:tcPr>
            <w:tcW w:w="667" w:type="dxa"/>
            <w:tcBorders>
              <w:bottom w:val="single" w:color="000000" w:sz="4" w:space="0"/>
              <w:right w:val="single" w:color="000000" w:sz="4" w:space="0"/>
            </w:tcBorders>
          </w:tcPr>
          <w:p w14:paraId="59D5FC3F">
            <w:pPr>
              <w:jc w:val="center"/>
              <w:rPr>
                <w:rFonts w:hint="eastAsia" w:eastAsia="宋体"/>
                <w:lang w:eastAsia="zh-CN"/>
              </w:rPr>
            </w:pPr>
          </w:p>
          <w:p w14:paraId="612C8AC9">
            <w:pPr>
              <w:jc w:val="center"/>
              <w:rPr>
                <w:rFonts w:hint="eastAsia" w:eastAsia="宋体"/>
                <w:lang w:eastAsia="zh-CN"/>
              </w:rPr>
            </w:pPr>
            <w:r>
              <w:rPr>
                <w:rFonts w:hint="eastAsia" w:eastAsia="宋体"/>
                <w:lang w:eastAsia="zh-CN"/>
              </w:rPr>
              <w:t>序号</w:t>
            </w:r>
          </w:p>
        </w:tc>
        <w:tc>
          <w:tcPr>
            <w:tcW w:w="1225" w:type="dxa"/>
            <w:tcBorders>
              <w:left w:val="single" w:color="000000" w:sz="4" w:space="0"/>
              <w:bottom w:val="single" w:color="000000" w:sz="4" w:space="0"/>
              <w:right w:val="single" w:color="000000" w:sz="4" w:space="0"/>
            </w:tcBorders>
          </w:tcPr>
          <w:p w14:paraId="0E13D9E6">
            <w:pPr>
              <w:jc w:val="center"/>
              <w:rPr>
                <w:rFonts w:hint="eastAsia" w:eastAsia="宋体"/>
                <w:lang w:eastAsia="zh-CN"/>
              </w:rPr>
            </w:pPr>
            <w:r>
              <w:rPr>
                <w:rFonts w:hint="eastAsia" w:eastAsia="宋体"/>
                <w:lang w:eastAsia="zh-CN"/>
              </w:rPr>
              <w:t>课程涉及的</w:t>
            </w:r>
          </w:p>
          <w:p w14:paraId="2B6EE3B8">
            <w:pPr>
              <w:jc w:val="center"/>
              <w:rPr>
                <w:rFonts w:hint="eastAsia" w:eastAsia="宋体"/>
                <w:lang w:eastAsia="zh-CN"/>
              </w:rPr>
            </w:pPr>
            <w:r>
              <w:rPr>
                <w:rFonts w:hint="eastAsia" w:eastAsia="宋体"/>
                <w:lang w:eastAsia="zh-CN"/>
              </w:rPr>
              <w:t>主要领域</w:t>
            </w:r>
          </w:p>
        </w:tc>
        <w:tc>
          <w:tcPr>
            <w:tcW w:w="2863" w:type="dxa"/>
            <w:tcBorders>
              <w:left w:val="single" w:color="000000" w:sz="4" w:space="0"/>
              <w:bottom w:val="single" w:color="000000" w:sz="4" w:space="0"/>
              <w:right w:val="single" w:color="000000" w:sz="4" w:space="0"/>
            </w:tcBorders>
          </w:tcPr>
          <w:p w14:paraId="59BB3EF5">
            <w:pPr>
              <w:jc w:val="center"/>
              <w:rPr>
                <w:rFonts w:hint="eastAsia" w:eastAsia="宋体"/>
                <w:lang w:eastAsia="zh-CN"/>
              </w:rPr>
            </w:pPr>
          </w:p>
          <w:p w14:paraId="61E4D8FD">
            <w:pPr>
              <w:jc w:val="center"/>
              <w:rPr>
                <w:rFonts w:hint="eastAsia" w:eastAsia="宋体"/>
                <w:lang w:eastAsia="zh-CN"/>
              </w:rPr>
            </w:pPr>
            <w:r>
              <w:rPr>
                <w:rFonts w:hint="eastAsia" w:eastAsia="宋体"/>
                <w:lang w:eastAsia="zh-CN"/>
              </w:rPr>
              <w:t>典型工作任务描述</w:t>
            </w:r>
          </w:p>
        </w:tc>
        <w:tc>
          <w:tcPr>
            <w:tcW w:w="3943" w:type="dxa"/>
            <w:tcBorders>
              <w:left w:val="single" w:color="000000" w:sz="4" w:space="0"/>
              <w:bottom w:val="single" w:color="000000" w:sz="4" w:space="0"/>
            </w:tcBorders>
          </w:tcPr>
          <w:p w14:paraId="24C6D7F1">
            <w:pPr>
              <w:jc w:val="center"/>
              <w:rPr>
                <w:rFonts w:hint="eastAsia" w:eastAsia="宋体"/>
                <w:lang w:eastAsia="zh-CN"/>
              </w:rPr>
            </w:pPr>
          </w:p>
          <w:p w14:paraId="001F1DA4">
            <w:pPr>
              <w:jc w:val="center"/>
              <w:rPr>
                <w:rFonts w:hint="eastAsia" w:eastAsia="宋体"/>
                <w:lang w:eastAsia="zh-CN"/>
              </w:rPr>
            </w:pPr>
            <w:r>
              <w:rPr>
                <w:rFonts w:hint="eastAsia" w:eastAsia="宋体"/>
                <w:lang w:eastAsia="zh-CN"/>
              </w:rPr>
              <w:t>主要教学内容与要求</w:t>
            </w:r>
          </w:p>
        </w:tc>
      </w:tr>
      <w:tr w14:paraId="16043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3DCFE40E">
            <w:pPr>
              <w:jc w:val="left"/>
              <w:rPr>
                <w:rFonts w:hint="eastAsia" w:eastAsia="宋体"/>
                <w:lang w:eastAsia="zh-CN"/>
              </w:rPr>
            </w:pPr>
          </w:p>
          <w:p w14:paraId="31AE9C1F">
            <w:pPr>
              <w:jc w:val="left"/>
              <w:rPr>
                <w:rFonts w:hint="eastAsia" w:eastAsia="宋体"/>
                <w:lang w:eastAsia="zh-CN"/>
              </w:rPr>
            </w:pPr>
          </w:p>
          <w:p w14:paraId="2D8B1546">
            <w:pPr>
              <w:jc w:val="left"/>
              <w:rPr>
                <w:rFonts w:hint="eastAsia" w:eastAsia="宋体"/>
                <w:lang w:eastAsia="zh-CN"/>
              </w:rPr>
            </w:pPr>
          </w:p>
          <w:p w14:paraId="541B4A6E">
            <w:pPr>
              <w:jc w:val="left"/>
              <w:rPr>
                <w:rFonts w:hint="eastAsia" w:eastAsia="宋体"/>
                <w:lang w:eastAsia="zh-CN"/>
              </w:rPr>
            </w:pPr>
          </w:p>
          <w:p w14:paraId="6D9942F7">
            <w:pPr>
              <w:jc w:val="left"/>
              <w:rPr>
                <w:rFonts w:hint="eastAsia" w:eastAsia="宋体"/>
                <w:lang w:eastAsia="zh-CN"/>
              </w:rPr>
            </w:pPr>
          </w:p>
          <w:p w14:paraId="263D85C1">
            <w:pPr>
              <w:jc w:val="left"/>
              <w:rPr>
                <w:rFonts w:hint="eastAsia" w:eastAsia="宋体"/>
                <w:lang w:eastAsia="zh-CN"/>
              </w:rPr>
            </w:pPr>
          </w:p>
          <w:p w14:paraId="24B1BFFD">
            <w:pPr>
              <w:jc w:val="left"/>
              <w:rPr>
                <w:rFonts w:hint="eastAsia" w:eastAsia="宋体"/>
                <w:lang w:eastAsia="zh-CN"/>
              </w:rPr>
            </w:pPr>
            <w:r>
              <w:rPr>
                <w:rFonts w:hint="eastAsia" w:eastAsia="宋体"/>
                <w:lang w:eastAsia="zh-CN"/>
              </w:rPr>
              <w:t>1</w:t>
            </w:r>
          </w:p>
        </w:tc>
        <w:tc>
          <w:tcPr>
            <w:tcW w:w="1225" w:type="dxa"/>
            <w:tcBorders>
              <w:top w:val="single" w:color="000000" w:sz="4" w:space="0"/>
              <w:left w:val="single" w:color="000000" w:sz="4" w:space="0"/>
              <w:bottom w:val="single" w:color="000000" w:sz="4" w:space="0"/>
              <w:right w:val="single" w:color="000000" w:sz="4" w:space="0"/>
            </w:tcBorders>
          </w:tcPr>
          <w:p w14:paraId="40C10CD6">
            <w:pPr>
              <w:jc w:val="left"/>
              <w:rPr>
                <w:rFonts w:hint="eastAsia" w:eastAsia="宋体"/>
                <w:lang w:eastAsia="zh-CN"/>
              </w:rPr>
            </w:pPr>
          </w:p>
          <w:p w14:paraId="026C18AD">
            <w:pPr>
              <w:jc w:val="left"/>
              <w:rPr>
                <w:rFonts w:hint="eastAsia" w:eastAsia="宋体"/>
                <w:lang w:eastAsia="zh-CN"/>
              </w:rPr>
            </w:pPr>
          </w:p>
          <w:p w14:paraId="08981C18">
            <w:pPr>
              <w:jc w:val="left"/>
              <w:rPr>
                <w:rFonts w:hint="eastAsia" w:eastAsia="宋体"/>
                <w:lang w:eastAsia="zh-CN"/>
              </w:rPr>
            </w:pPr>
          </w:p>
          <w:p w14:paraId="4A49FD80">
            <w:pPr>
              <w:jc w:val="left"/>
              <w:rPr>
                <w:rFonts w:hint="eastAsia" w:eastAsia="宋体"/>
                <w:lang w:eastAsia="zh-CN"/>
              </w:rPr>
            </w:pPr>
          </w:p>
          <w:p w14:paraId="6AB13B7B">
            <w:pPr>
              <w:jc w:val="left"/>
              <w:rPr>
                <w:rFonts w:hint="eastAsia" w:eastAsia="宋体"/>
                <w:lang w:eastAsia="zh-CN"/>
              </w:rPr>
            </w:pPr>
          </w:p>
          <w:p w14:paraId="6D8AF029">
            <w:pPr>
              <w:jc w:val="left"/>
              <w:rPr>
                <w:rFonts w:hint="default" w:eastAsia="宋体"/>
                <w:lang w:val="en-US" w:eastAsia="zh-CN"/>
              </w:rPr>
            </w:pPr>
            <w:r>
              <w:rPr>
                <w:rFonts w:hint="eastAsia"/>
                <w:lang w:val="en-US" w:eastAsia="zh-CN"/>
              </w:rPr>
              <w:t>智慧运输运营</w:t>
            </w:r>
          </w:p>
        </w:tc>
        <w:tc>
          <w:tcPr>
            <w:tcW w:w="2863" w:type="dxa"/>
            <w:tcBorders>
              <w:top w:val="single" w:color="000000" w:sz="4" w:space="0"/>
              <w:left w:val="single" w:color="000000" w:sz="4" w:space="0"/>
              <w:bottom w:val="single" w:color="000000" w:sz="4" w:space="0"/>
              <w:right w:val="single" w:color="000000" w:sz="4" w:space="0"/>
            </w:tcBorders>
          </w:tcPr>
          <w:p w14:paraId="0132BE16">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① 运输方式选择。</w:t>
            </w:r>
          </w:p>
          <w:p w14:paraId="7392C29B">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② 运输线路规划。</w:t>
            </w:r>
          </w:p>
          <w:p w14:paraId="3C08CBB1">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③ 网络货运。</w:t>
            </w:r>
          </w:p>
          <w:p w14:paraId="244522C4">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④ 高铁货运。</w:t>
            </w:r>
          </w:p>
          <w:p w14:paraId="6AA66965">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⑤ 甩挂运输运营</w:t>
            </w:r>
          </w:p>
        </w:tc>
        <w:tc>
          <w:tcPr>
            <w:tcW w:w="3943" w:type="dxa"/>
            <w:tcBorders>
              <w:top w:val="single" w:color="000000" w:sz="4" w:space="0"/>
              <w:left w:val="single" w:color="000000" w:sz="4" w:space="0"/>
              <w:bottom w:val="single" w:color="000000" w:sz="4" w:space="0"/>
            </w:tcBorders>
          </w:tcPr>
          <w:p w14:paraId="47333427">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① 掌握各种运输方式的特点、运输调度流程，能够按照运输业务场景选择合理运输方式。</w:t>
            </w:r>
          </w:p>
          <w:p w14:paraId="60CC39E1">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② 掌握运输合理化知识，能够利用专业工具软件进行运输线路规划与优化。</w:t>
            </w:r>
          </w:p>
          <w:p w14:paraId="51730AEA">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③ 掌握网络平台道路货物运输经营服务的申请流程及要求、网络货运省级检测系统信息服务的内容，能够编制网络货运申报方案及网络货运报文。</w:t>
            </w:r>
          </w:p>
          <w:p w14:paraId="3D72A8A7">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④ 掌握高铁货运产品及组织模式，能够根据货运需求办理高铁货运托运业务。</w:t>
            </w:r>
          </w:p>
          <w:p w14:paraId="1A4EEA5C">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⑤ 掌握甩挂运输的组织形式，能够设计甩</w:t>
            </w:r>
          </w:p>
          <w:p w14:paraId="32D2D304">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挂运输方案及编制甩挂运输车辆运行作业图</w:t>
            </w:r>
          </w:p>
        </w:tc>
      </w:tr>
      <w:tr w14:paraId="493AD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shd w:val="clear"/>
            <w:vAlign w:val="top"/>
          </w:tcPr>
          <w:p w14:paraId="0A01F70A">
            <w:pPr>
              <w:jc w:val="left"/>
              <w:rPr>
                <w:rFonts w:hint="eastAsia" w:eastAsia="宋体"/>
                <w:lang w:eastAsia="zh-CN"/>
              </w:rPr>
            </w:pPr>
          </w:p>
          <w:p w14:paraId="7A072CDB">
            <w:pPr>
              <w:jc w:val="left"/>
              <w:rPr>
                <w:rFonts w:hint="eastAsia" w:eastAsia="宋体"/>
                <w:lang w:eastAsia="zh-CN"/>
              </w:rPr>
            </w:pPr>
          </w:p>
          <w:p w14:paraId="0A01A356">
            <w:pPr>
              <w:jc w:val="left"/>
              <w:rPr>
                <w:rFonts w:hint="eastAsia" w:eastAsia="宋体"/>
                <w:lang w:eastAsia="zh-CN"/>
              </w:rPr>
            </w:pPr>
          </w:p>
          <w:p w14:paraId="1DAAD2F1">
            <w:pPr>
              <w:jc w:val="left"/>
              <w:rPr>
                <w:rFonts w:hint="eastAsia" w:eastAsia="宋体"/>
                <w:lang w:eastAsia="zh-CN"/>
              </w:rPr>
            </w:pPr>
          </w:p>
          <w:p w14:paraId="4774DDB0">
            <w:pPr>
              <w:jc w:val="left"/>
              <w:rPr>
                <w:rFonts w:hint="eastAsia" w:eastAsia="宋体"/>
                <w:lang w:eastAsia="zh-CN"/>
              </w:rPr>
            </w:pPr>
          </w:p>
          <w:p w14:paraId="5D5616B5">
            <w:pPr>
              <w:jc w:val="left"/>
              <w:rPr>
                <w:rFonts w:hint="eastAsia" w:eastAsia="宋体"/>
                <w:lang w:eastAsia="zh-CN"/>
              </w:rPr>
            </w:pPr>
          </w:p>
          <w:p w14:paraId="7ADAE657">
            <w:pPr>
              <w:jc w:val="left"/>
              <w:rPr>
                <w:rFonts w:hint="eastAsia" w:ascii="Times New Roman" w:hAnsi="Times New Roman" w:eastAsia="宋体" w:cs="Times New Roman"/>
                <w:kern w:val="2"/>
                <w:sz w:val="21"/>
                <w:szCs w:val="24"/>
                <w:lang w:val="en-US" w:eastAsia="zh-CN" w:bidi="ar-SA"/>
              </w:rPr>
            </w:pPr>
            <w:r>
              <w:rPr>
                <w:rFonts w:hint="eastAsia"/>
                <w:lang w:val="en-US" w:eastAsia="zh-CN"/>
              </w:rPr>
              <w:t>2</w:t>
            </w:r>
          </w:p>
        </w:tc>
        <w:tc>
          <w:tcPr>
            <w:tcW w:w="1225" w:type="dxa"/>
            <w:tcBorders>
              <w:top w:val="single" w:color="000000" w:sz="4" w:space="0"/>
              <w:left w:val="single" w:color="000000" w:sz="4" w:space="0"/>
              <w:bottom w:val="single" w:color="000000" w:sz="4" w:space="0"/>
              <w:right w:val="single" w:color="000000" w:sz="4" w:space="0"/>
            </w:tcBorders>
            <w:shd w:val="clear"/>
            <w:vAlign w:val="top"/>
          </w:tcPr>
          <w:p w14:paraId="68E01E4F">
            <w:pPr>
              <w:jc w:val="left"/>
              <w:rPr>
                <w:rFonts w:hint="eastAsia" w:eastAsia="宋体"/>
                <w:lang w:eastAsia="zh-CN"/>
              </w:rPr>
            </w:pPr>
          </w:p>
          <w:p w14:paraId="1A64F2FC">
            <w:pPr>
              <w:jc w:val="left"/>
              <w:rPr>
                <w:rFonts w:hint="eastAsia" w:eastAsia="宋体"/>
                <w:lang w:eastAsia="zh-CN"/>
              </w:rPr>
            </w:pPr>
          </w:p>
          <w:p w14:paraId="7FE2EDD5">
            <w:pPr>
              <w:jc w:val="left"/>
              <w:rPr>
                <w:rFonts w:hint="eastAsia" w:eastAsia="宋体"/>
                <w:lang w:eastAsia="zh-CN"/>
              </w:rPr>
            </w:pPr>
          </w:p>
          <w:p w14:paraId="4F4E0109">
            <w:pPr>
              <w:jc w:val="left"/>
              <w:rPr>
                <w:rFonts w:hint="eastAsia" w:eastAsia="宋体"/>
                <w:lang w:eastAsia="zh-CN"/>
              </w:rPr>
            </w:pPr>
          </w:p>
          <w:p w14:paraId="25D2C210">
            <w:pPr>
              <w:jc w:val="left"/>
              <w:rPr>
                <w:rFonts w:hint="eastAsia" w:eastAsia="宋体"/>
                <w:lang w:eastAsia="zh-CN"/>
              </w:rPr>
            </w:pPr>
          </w:p>
          <w:p w14:paraId="1C524935">
            <w:pPr>
              <w:jc w:val="left"/>
              <w:rPr>
                <w:rFonts w:hint="eastAsia" w:eastAsia="宋体"/>
                <w:lang w:eastAsia="zh-CN"/>
              </w:rPr>
            </w:pPr>
          </w:p>
          <w:p w14:paraId="3454AC2B">
            <w:pPr>
              <w:jc w:val="left"/>
              <w:rPr>
                <w:rFonts w:hint="default" w:ascii="Times New Roman" w:hAnsi="Times New Roman" w:eastAsia="宋体" w:cs="Times New Roman"/>
                <w:kern w:val="2"/>
                <w:sz w:val="21"/>
                <w:szCs w:val="24"/>
                <w:lang w:val="en-US" w:eastAsia="zh-CN" w:bidi="ar-SA"/>
              </w:rPr>
            </w:pPr>
            <w:r>
              <w:rPr>
                <w:rFonts w:hint="eastAsia" w:cs="Times New Roman"/>
                <w:kern w:val="2"/>
                <w:sz w:val="21"/>
                <w:szCs w:val="24"/>
                <w:lang w:val="en-US" w:eastAsia="zh-CN" w:bidi="ar-SA"/>
              </w:rPr>
              <w:t>采购与供应管理</w:t>
            </w:r>
          </w:p>
        </w:tc>
        <w:tc>
          <w:tcPr>
            <w:tcW w:w="2863" w:type="dxa"/>
            <w:tcBorders>
              <w:top w:val="single" w:color="000000" w:sz="4" w:space="0"/>
              <w:left w:val="single" w:color="000000" w:sz="4" w:space="0"/>
              <w:bottom w:val="single" w:color="000000" w:sz="4" w:space="0"/>
              <w:right w:val="single" w:color="000000" w:sz="4" w:space="0"/>
            </w:tcBorders>
            <w:shd w:val="clear"/>
            <w:vAlign w:val="top"/>
          </w:tcPr>
          <w:p w14:paraId="3737F3AF">
            <w:pPr>
              <w:jc w:val="left"/>
              <w:rPr>
                <w:rFonts w:hint="eastAsia" w:eastAsia="宋体"/>
                <w:lang w:eastAsia="zh-CN"/>
              </w:rPr>
            </w:pPr>
          </w:p>
          <w:p w14:paraId="798426A2">
            <w:pPr>
              <w:pStyle w:val="133"/>
              <w:spacing w:before="90"/>
              <w:ind w:left="298"/>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① 供应商选择与评价。</w:t>
            </w:r>
          </w:p>
          <w:p w14:paraId="63B330DB">
            <w:pPr>
              <w:pStyle w:val="133"/>
              <w:spacing w:before="90"/>
              <w:ind w:left="298"/>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② 采购谈判与合同管理。</w:t>
            </w:r>
          </w:p>
          <w:p w14:paraId="6BB93E72">
            <w:pPr>
              <w:pStyle w:val="133"/>
              <w:spacing w:before="90"/>
              <w:ind w:left="298"/>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③ BOM 采购执行</w:t>
            </w:r>
          </w:p>
        </w:tc>
        <w:tc>
          <w:tcPr>
            <w:tcW w:w="3943" w:type="dxa"/>
            <w:tcBorders>
              <w:top w:val="single" w:color="000000" w:sz="4" w:space="0"/>
              <w:left w:val="single" w:color="000000" w:sz="4" w:space="0"/>
              <w:bottom w:val="single" w:color="000000" w:sz="4" w:space="0"/>
            </w:tcBorders>
            <w:shd w:val="clear"/>
            <w:vAlign w:val="top"/>
          </w:tcPr>
          <w:p w14:paraId="1148572A">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① 掌握供应商的评价方法，能够进行供应商的选择。</w:t>
            </w:r>
          </w:p>
          <w:p w14:paraId="0687D54A">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② 掌握采购谈判注意事项、技巧及合同的订立流程，能够进行采购谈判和合同管理。</w:t>
            </w:r>
          </w:p>
          <w:p w14:paraId="286DD754">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③ 掌握物料清单与产品结构知识，能够根据生产要求外购原材料、标准件和成套部件</w:t>
            </w:r>
          </w:p>
        </w:tc>
      </w:tr>
      <w:tr w14:paraId="45210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2BCFFAE9">
            <w:pPr>
              <w:jc w:val="left"/>
              <w:rPr>
                <w:rFonts w:hint="default" w:eastAsia="宋体"/>
                <w:lang w:val="en-US" w:eastAsia="zh-CN"/>
              </w:rPr>
            </w:pPr>
            <w:r>
              <w:rPr>
                <w:rFonts w:hint="eastAsia"/>
                <w:lang w:val="en-US" w:eastAsia="zh-CN"/>
              </w:rPr>
              <w:t>3</w:t>
            </w:r>
          </w:p>
        </w:tc>
        <w:tc>
          <w:tcPr>
            <w:tcW w:w="1225" w:type="dxa"/>
            <w:tcBorders>
              <w:top w:val="single" w:color="000000" w:sz="4" w:space="0"/>
              <w:left w:val="single" w:color="000000" w:sz="4" w:space="0"/>
              <w:bottom w:val="single" w:color="000000" w:sz="4" w:space="0"/>
              <w:right w:val="single" w:color="000000" w:sz="4" w:space="0"/>
            </w:tcBorders>
          </w:tcPr>
          <w:p w14:paraId="683FC43C">
            <w:pPr>
              <w:jc w:val="left"/>
              <w:rPr>
                <w:rFonts w:hint="default" w:eastAsia="宋体"/>
                <w:lang w:val="en-US" w:eastAsia="zh-CN"/>
              </w:rPr>
            </w:pPr>
            <w:r>
              <w:rPr>
                <w:rFonts w:hint="eastAsia"/>
                <w:lang w:val="en-US" w:eastAsia="zh-CN"/>
              </w:rPr>
              <w:t>供应链管理</w:t>
            </w:r>
          </w:p>
        </w:tc>
        <w:tc>
          <w:tcPr>
            <w:tcW w:w="2863" w:type="dxa"/>
            <w:tcBorders>
              <w:top w:val="single" w:color="000000" w:sz="4" w:space="0"/>
              <w:left w:val="single" w:color="000000" w:sz="4" w:space="0"/>
              <w:bottom w:val="single" w:color="000000" w:sz="4" w:space="0"/>
              <w:right w:val="single" w:color="000000" w:sz="4" w:space="0"/>
            </w:tcBorders>
          </w:tcPr>
          <w:p w14:paraId="023E9441">
            <w:pPr>
              <w:jc w:val="left"/>
              <w:rPr>
                <w:rFonts w:hint="eastAsia" w:eastAsia="宋体"/>
                <w:lang w:eastAsia="zh-CN"/>
              </w:rPr>
            </w:pPr>
            <w:r>
              <w:rPr>
                <w:rFonts w:hint="eastAsia" w:ascii="Times New Roman" w:hAnsi="Times New Roman" w:eastAsia="宋体" w:cs="Times New Roman"/>
                <w:kern w:val="2"/>
                <w:sz w:val="21"/>
                <w:szCs w:val="24"/>
                <w:lang w:val="en-US" w:eastAsia="zh-CN" w:bidi="ar-SA"/>
              </w:rPr>
              <w:t>①</w:t>
            </w:r>
            <w:r>
              <w:rPr>
                <w:rFonts w:hint="eastAsia" w:cs="Times New Roman"/>
                <w:kern w:val="2"/>
                <w:sz w:val="21"/>
                <w:szCs w:val="24"/>
                <w:lang w:val="en-US" w:eastAsia="zh-CN" w:bidi="ar-SA"/>
              </w:rPr>
              <w:t xml:space="preserve"> </w:t>
            </w:r>
            <w:r>
              <w:rPr>
                <w:rFonts w:hint="eastAsia" w:eastAsia="宋体"/>
                <w:lang w:eastAsia="zh-CN"/>
              </w:rPr>
              <w:t>供应链战略规划与设计</w:t>
            </w:r>
          </w:p>
          <w:p w14:paraId="60517C1D">
            <w:pPr>
              <w:jc w:val="left"/>
              <w:rPr>
                <w:rFonts w:hint="eastAsia" w:eastAsia="宋体"/>
                <w:lang w:eastAsia="zh-CN"/>
              </w:rPr>
            </w:pPr>
            <w:r>
              <w:rPr>
                <w:rFonts w:hint="eastAsia" w:ascii="Times New Roman" w:hAnsi="Times New Roman" w:eastAsia="宋体" w:cs="Times New Roman"/>
                <w:kern w:val="2"/>
                <w:sz w:val="21"/>
                <w:szCs w:val="24"/>
                <w:lang w:val="en-US" w:eastAsia="zh-CN" w:bidi="ar-SA"/>
              </w:rPr>
              <w:t xml:space="preserve">② </w:t>
            </w:r>
            <w:r>
              <w:rPr>
                <w:rFonts w:hint="eastAsia" w:eastAsia="宋体"/>
                <w:lang w:eastAsia="zh-CN"/>
              </w:rPr>
              <w:t>供应商管理</w:t>
            </w:r>
          </w:p>
          <w:p w14:paraId="5A7F82A6">
            <w:pPr>
              <w:jc w:val="left"/>
              <w:rPr>
                <w:rFonts w:hint="eastAsia" w:eastAsia="宋体"/>
                <w:lang w:eastAsia="zh-CN"/>
              </w:rPr>
            </w:pPr>
            <w:r>
              <w:rPr>
                <w:rFonts w:hint="eastAsia" w:ascii="Times New Roman" w:hAnsi="Times New Roman" w:eastAsia="宋体" w:cs="Times New Roman"/>
                <w:kern w:val="2"/>
                <w:sz w:val="21"/>
                <w:szCs w:val="24"/>
                <w:lang w:val="en-US" w:eastAsia="zh-CN" w:bidi="ar-SA"/>
              </w:rPr>
              <w:t xml:space="preserve">③ </w:t>
            </w:r>
            <w:r>
              <w:rPr>
                <w:rFonts w:hint="eastAsia" w:eastAsia="宋体"/>
                <w:lang w:eastAsia="zh-CN"/>
              </w:rPr>
              <w:t>采购管理</w:t>
            </w:r>
          </w:p>
          <w:p w14:paraId="2ED940AC">
            <w:pPr>
              <w:jc w:val="left"/>
              <w:rPr>
                <w:rFonts w:hint="eastAsia" w:eastAsia="宋体"/>
                <w:lang w:eastAsia="zh-CN"/>
              </w:rPr>
            </w:pPr>
            <w:r>
              <w:rPr>
                <w:rFonts w:hint="eastAsia" w:eastAsia="宋体"/>
                <w:lang w:eastAsia="zh-CN"/>
              </w:rPr>
              <w:t>④ 库存管理</w:t>
            </w:r>
          </w:p>
          <w:p w14:paraId="42B0003C">
            <w:pPr>
              <w:jc w:val="left"/>
              <w:rPr>
                <w:rFonts w:hint="eastAsia" w:eastAsia="宋体"/>
                <w:lang w:eastAsia="zh-CN"/>
              </w:rPr>
            </w:pPr>
            <w:r>
              <w:rPr>
                <w:rFonts w:hint="eastAsia" w:eastAsia="宋体"/>
                <w:lang w:eastAsia="zh-CN"/>
              </w:rPr>
              <w:t>⑤ 生产与物流协同管理</w:t>
            </w:r>
          </w:p>
          <w:p w14:paraId="67EF9519">
            <w:pPr>
              <w:jc w:val="left"/>
              <w:rPr>
                <w:rFonts w:hint="eastAsia" w:eastAsia="宋体"/>
                <w:lang w:eastAsia="zh-CN"/>
              </w:rPr>
            </w:pPr>
          </w:p>
        </w:tc>
        <w:tc>
          <w:tcPr>
            <w:tcW w:w="3943" w:type="dxa"/>
            <w:tcBorders>
              <w:top w:val="single" w:color="000000" w:sz="4" w:space="0"/>
              <w:left w:val="single" w:color="000000" w:sz="4" w:space="0"/>
              <w:bottom w:val="single" w:color="000000" w:sz="4" w:space="0"/>
            </w:tcBorders>
          </w:tcPr>
          <w:p w14:paraId="6E043906">
            <w:pPr>
              <w:jc w:val="left"/>
              <w:rPr>
                <w:rFonts w:hint="eastAsia" w:eastAsia="宋体"/>
                <w:lang w:eastAsia="zh-CN"/>
              </w:rPr>
            </w:pPr>
            <w:r>
              <w:rPr>
                <w:rFonts w:hint="eastAsia" w:ascii="Times New Roman" w:hAnsi="Times New Roman" w:eastAsia="宋体" w:cs="Times New Roman"/>
                <w:kern w:val="2"/>
                <w:sz w:val="21"/>
                <w:szCs w:val="24"/>
                <w:lang w:val="en-US" w:eastAsia="zh-CN" w:bidi="ar-SA"/>
              </w:rPr>
              <w:t>①</w:t>
            </w:r>
            <w:r>
              <w:rPr>
                <w:rFonts w:hint="eastAsia" w:cs="Times New Roman"/>
                <w:kern w:val="2"/>
                <w:sz w:val="21"/>
                <w:szCs w:val="24"/>
                <w:lang w:val="en-US" w:eastAsia="zh-CN" w:bidi="ar-SA"/>
              </w:rPr>
              <w:t xml:space="preserve"> </w:t>
            </w:r>
            <w:r>
              <w:rPr>
                <w:rFonts w:hint="eastAsia" w:eastAsia="宋体"/>
                <w:lang w:eastAsia="zh-CN"/>
              </w:rPr>
              <w:t>介绍供应链的概念、结构、特征、类型及发展趋势，讲解供应链管理的基本概念、原则和目标，使学生掌握供应链管理的基础理论知识。​</w:t>
            </w:r>
          </w:p>
          <w:p w14:paraId="2CE1F76D">
            <w:pPr>
              <w:jc w:val="left"/>
              <w:rPr>
                <w:rFonts w:hint="eastAsia" w:eastAsia="宋体"/>
                <w:lang w:eastAsia="zh-CN"/>
              </w:rPr>
            </w:pPr>
            <w:r>
              <w:rPr>
                <w:rFonts w:hint="eastAsia" w:ascii="Times New Roman" w:hAnsi="Times New Roman" w:eastAsia="宋体" w:cs="Times New Roman"/>
                <w:kern w:val="2"/>
                <w:sz w:val="21"/>
                <w:szCs w:val="24"/>
                <w:lang w:val="en-US" w:eastAsia="zh-CN" w:bidi="ar-SA"/>
              </w:rPr>
              <w:t xml:space="preserve">② </w:t>
            </w:r>
            <w:r>
              <w:rPr>
                <w:rFonts w:hint="eastAsia" w:eastAsia="宋体"/>
                <w:lang w:eastAsia="zh-CN"/>
              </w:rPr>
              <w:t>教授供应链战略的制定方法，包括市场分析、战略目标设定、战略选择等；讲解供应链网络设计的原则与方法，如设施选址、节点布局等；引导学生学习供应链流程优化的策略。​</w:t>
            </w:r>
          </w:p>
          <w:p w14:paraId="1E9D7E58">
            <w:pPr>
              <w:jc w:val="left"/>
              <w:rPr>
                <w:rFonts w:hint="eastAsia" w:eastAsia="宋体"/>
                <w:lang w:eastAsia="zh-CN"/>
              </w:rPr>
            </w:pPr>
            <w:r>
              <w:rPr>
                <w:rFonts w:hint="eastAsia" w:ascii="Times New Roman" w:hAnsi="Times New Roman" w:eastAsia="宋体" w:cs="Times New Roman"/>
                <w:kern w:val="2"/>
                <w:sz w:val="21"/>
                <w:szCs w:val="24"/>
                <w:lang w:val="en-US" w:eastAsia="zh-CN" w:bidi="ar-SA"/>
              </w:rPr>
              <w:t xml:space="preserve">③ </w:t>
            </w:r>
            <w:r>
              <w:rPr>
                <w:rFonts w:hint="eastAsia" w:eastAsia="宋体"/>
                <w:lang w:eastAsia="zh-CN"/>
              </w:rPr>
              <w:t>阐述供应商开发的流程与方法，讲解供应商评估指标体系的构建和评估方法；传授供应商关系管理的策略，包括供应商合作模式、谈判技巧等；指导学生学习供应商绩效评估与激励机制。​</w:t>
            </w:r>
          </w:p>
          <w:p w14:paraId="075E4CF0">
            <w:pPr>
              <w:jc w:val="left"/>
              <w:rPr>
                <w:rFonts w:hint="eastAsia" w:eastAsia="宋体"/>
                <w:lang w:eastAsia="zh-CN"/>
              </w:rPr>
            </w:pPr>
            <w:r>
              <w:rPr>
                <w:rFonts w:hint="eastAsia" w:eastAsia="宋体"/>
                <w:lang w:eastAsia="zh-CN"/>
              </w:rPr>
              <w:t>④ 讲解采购计划的制定方法，包括需求预测、采购预算编制等；教授采购谈判技巧、合同签订与管理要点；介绍采购订单执行监控和采购成本控制的方法。​</w:t>
            </w:r>
          </w:p>
          <w:p w14:paraId="1ADB51AA">
            <w:pPr>
              <w:jc w:val="left"/>
              <w:rPr>
                <w:rFonts w:hint="eastAsia" w:eastAsia="宋体"/>
                <w:lang w:eastAsia="zh-CN"/>
              </w:rPr>
            </w:pPr>
            <w:r>
              <w:rPr>
                <w:rFonts w:hint="eastAsia" w:eastAsia="宋体"/>
                <w:lang w:eastAsia="zh-CN"/>
              </w:rPr>
              <w:t>⑤ 讲解库存管理的基本模型和技术，如 ABC 分类法、经济订货批量模型等；教授库存需求预测方法，指导学生制定库存策略，学习库存盘点与库存成本控制的方法。</w:t>
            </w:r>
          </w:p>
          <w:p w14:paraId="4FC6C34F">
            <w:pPr>
              <w:jc w:val="left"/>
              <w:rPr>
                <w:rFonts w:hint="eastAsia" w:eastAsia="宋体"/>
                <w:lang w:eastAsia="zh-CN"/>
              </w:rPr>
            </w:pPr>
          </w:p>
        </w:tc>
      </w:tr>
      <w:tr w14:paraId="0F599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3552E611">
            <w:pPr>
              <w:jc w:val="left"/>
              <w:rPr>
                <w:rFonts w:hint="default" w:eastAsia="宋体"/>
                <w:lang w:val="en-US" w:eastAsia="zh-CN"/>
              </w:rPr>
            </w:pPr>
            <w:r>
              <w:rPr>
                <w:rFonts w:hint="eastAsia"/>
                <w:lang w:val="en-US" w:eastAsia="zh-CN"/>
              </w:rPr>
              <w:t>4</w:t>
            </w:r>
          </w:p>
        </w:tc>
        <w:tc>
          <w:tcPr>
            <w:tcW w:w="1225" w:type="dxa"/>
            <w:tcBorders>
              <w:top w:val="single" w:color="000000" w:sz="4" w:space="0"/>
              <w:left w:val="single" w:color="000000" w:sz="4" w:space="0"/>
              <w:bottom w:val="single" w:color="000000" w:sz="4" w:space="0"/>
              <w:right w:val="single" w:color="000000" w:sz="4" w:space="0"/>
            </w:tcBorders>
          </w:tcPr>
          <w:p w14:paraId="50784D10">
            <w:pPr>
              <w:jc w:val="left"/>
              <w:rPr>
                <w:rFonts w:hint="default" w:eastAsia="宋体"/>
                <w:lang w:val="en-US" w:eastAsia="zh-CN"/>
              </w:rPr>
            </w:pPr>
            <w:r>
              <w:rPr>
                <w:rFonts w:hint="eastAsia"/>
                <w:lang w:val="en-US" w:eastAsia="zh-CN"/>
              </w:rPr>
              <w:t>智慧仓配运营</w:t>
            </w:r>
          </w:p>
        </w:tc>
        <w:tc>
          <w:tcPr>
            <w:tcW w:w="2863" w:type="dxa"/>
            <w:tcBorders>
              <w:top w:val="single" w:color="000000" w:sz="4" w:space="0"/>
              <w:left w:val="single" w:color="000000" w:sz="4" w:space="0"/>
              <w:bottom w:val="single" w:color="000000" w:sz="4" w:space="0"/>
              <w:right w:val="single" w:color="000000" w:sz="4" w:space="0"/>
            </w:tcBorders>
          </w:tcPr>
          <w:p w14:paraId="5908E57C">
            <w:pPr>
              <w:jc w:val="left"/>
              <w:rPr>
                <w:rFonts w:hint="eastAsia" w:eastAsia="宋体"/>
                <w:lang w:eastAsia="zh-CN"/>
              </w:rPr>
            </w:pPr>
            <w:r>
              <w:rPr>
                <w:rFonts w:hint="eastAsia" w:eastAsia="宋体"/>
                <w:lang w:eastAsia="zh-CN"/>
              </w:rPr>
              <w:t>① 制订工作计划。</w:t>
            </w:r>
          </w:p>
          <w:p w14:paraId="468E5A69">
            <w:pPr>
              <w:jc w:val="left"/>
              <w:rPr>
                <w:rFonts w:hint="eastAsia" w:eastAsia="宋体"/>
                <w:lang w:eastAsia="zh-CN"/>
              </w:rPr>
            </w:pPr>
            <w:r>
              <w:rPr>
                <w:rFonts w:hint="eastAsia" w:eastAsia="宋体"/>
                <w:lang w:eastAsia="zh-CN"/>
              </w:rPr>
              <w:t>② 仓储与配送业务流程设计。</w:t>
            </w:r>
          </w:p>
          <w:p w14:paraId="15A6369B">
            <w:pPr>
              <w:jc w:val="left"/>
              <w:rPr>
                <w:rFonts w:hint="eastAsia" w:eastAsia="宋体"/>
                <w:lang w:eastAsia="zh-CN"/>
              </w:rPr>
            </w:pPr>
            <w:r>
              <w:rPr>
                <w:rFonts w:hint="eastAsia" w:eastAsia="宋体"/>
                <w:lang w:eastAsia="zh-CN"/>
              </w:rPr>
              <w:t>③ 物品出入库管理。</w:t>
            </w:r>
          </w:p>
          <w:p w14:paraId="63FCE329">
            <w:pPr>
              <w:jc w:val="left"/>
              <w:rPr>
                <w:rFonts w:hint="eastAsia" w:eastAsia="宋体"/>
                <w:lang w:eastAsia="zh-CN"/>
              </w:rPr>
            </w:pPr>
            <w:r>
              <w:rPr>
                <w:rFonts w:hint="eastAsia" w:eastAsia="宋体"/>
                <w:lang w:eastAsia="zh-CN"/>
              </w:rPr>
              <w:t>④ 物品仓储与库存管理。</w:t>
            </w:r>
          </w:p>
          <w:p w14:paraId="5D614D32">
            <w:pPr>
              <w:jc w:val="left"/>
              <w:rPr>
                <w:rFonts w:hint="eastAsia" w:eastAsia="宋体"/>
                <w:lang w:eastAsia="zh-CN"/>
              </w:rPr>
            </w:pPr>
            <w:r>
              <w:rPr>
                <w:rFonts w:hint="eastAsia" w:eastAsia="宋体"/>
                <w:lang w:eastAsia="zh-CN"/>
              </w:rPr>
              <w:t xml:space="preserve">⑤ 配送模式与运营流程优化 </w:t>
            </w:r>
          </w:p>
        </w:tc>
        <w:tc>
          <w:tcPr>
            <w:tcW w:w="3943" w:type="dxa"/>
            <w:tcBorders>
              <w:top w:val="single" w:color="000000" w:sz="4" w:space="0"/>
              <w:left w:val="single" w:color="000000" w:sz="4" w:space="0"/>
              <w:bottom w:val="single" w:color="000000" w:sz="4" w:space="0"/>
            </w:tcBorders>
          </w:tcPr>
          <w:p w14:paraId="3F121406">
            <w:pPr>
              <w:jc w:val="left"/>
              <w:rPr>
                <w:rFonts w:hint="eastAsia" w:eastAsia="宋体"/>
                <w:lang w:eastAsia="zh-CN"/>
              </w:rPr>
            </w:pPr>
            <w:r>
              <w:rPr>
                <w:rFonts w:hint="eastAsia" w:eastAsia="宋体"/>
                <w:lang w:eastAsia="zh-CN"/>
              </w:rPr>
              <w:t>① 掌握入库、出库、拣货、配送、盘点等工作计划的内容，能够编制相应的计划并组织实施。</w:t>
            </w:r>
          </w:p>
          <w:p w14:paraId="768A5034">
            <w:pPr>
              <w:jc w:val="left"/>
              <w:rPr>
                <w:rFonts w:hint="eastAsia" w:eastAsia="宋体"/>
                <w:lang w:eastAsia="zh-CN"/>
              </w:rPr>
            </w:pPr>
            <w:r>
              <w:rPr>
                <w:rFonts w:hint="eastAsia" w:eastAsia="宋体"/>
                <w:lang w:eastAsia="zh-CN"/>
              </w:rPr>
              <w:t>② 掌握仓储与配送作业流程，能够组织实施仓储与配送的作业计划。</w:t>
            </w:r>
          </w:p>
          <w:p w14:paraId="1DBCAF1B">
            <w:pPr>
              <w:jc w:val="left"/>
              <w:rPr>
                <w:rFonts w:hint="eastAsia" w:eastAsia="宋体"/>
                <w:lang w:eastAsia="zh-CN"/>
              </w:rPr>
            </w:pPr>
            <w:r>
              <w:rPr>
                <w:rFonts w:hint="eastAsia" w:eastAsia="宋体"/>
                <w:lang w:eastAsia="zh-CN"/>
              </w:rPr>
              <w:t>③ 掌握货物存储策略类型及原则，能够制订存储规划及存储策略。</w:t>
            </w:r>
          </w:p>
          <w:p w14:paraId="06721615">
            <w:pPr>
              <w:jc w:val="left"/>
              <w:rPr>
                <w:rFonts w:hint="eastAsia" w:eastAsia="宋体"/>
                <w:lang w:eastAsia="zh-CN"/>
              </w:rPr>
            </w:pPr>
            <w:r>
              <w:rPr>
                <w:rFonts w:hint="eastAsia" w:eastAsia="宋体"/>
                <w:lang w:eastAsia="zh-CN"/>
              </w:rPr>
              <w:t>④ 掌握库存控制的基本方法和工具，能够进行库存分析并优化库存结构。</w:t>
            </w:r>
          </w:p>
          <w:p w14:paraId="719D9312">
            <w:pPr>
              <w:jc w:val="left"/>
              <w:rPr>
                <w:rFonts w:hint="eastAsia" w:eastAsia="宋体"/>
                <w:lang w:eastAsia="zh-CN"/>
              </w:rPr>
            </w:pPr>
            <w:r>
              <w:rPr>
                <w:rFonts w:hint="eastAsia" w:eastAsia="宋体"/>
                <w:lang w:eastAsia="zh-CN"/>
              </w:rPr>
              <w:t xml:space="preserve">⑤ 掌握配送作业主要模式和内容，能够运用配载的方法制定配载方案，能够优化配送路线并会制定配送方案 </w:t>
            </w:r>
          </w:p>
        </w:tc>
      </w:tr>
      <w:tr w14:paraId="092C7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74" w:hRule="atLeast"/>
        </w:trPr>
        <w:tc>
          <w:tcPr>
            <w:tcW w:w="667" w:type="dxa"/>
            <w:tcBorders>
              <w:top w:val="single" w:color="000000" w:sz="4" w:space="0"/>
              <w:bottom w:val="single" w:color="000000" w:sz="4" w:space="0"/>
              <w:right w:val="single" w:color="000000" w:sz="4" w:space="0"/>
            </w:tcBorders>
          </w:tcPr>
          <w:p w14:paraId="0E955C37">
            <w:pPr>
              <w:jc w:val="left"/>
              <w:rPr>
                <w:rFonts w:hint="default" w:eastAsia="宋体"/>
                <w:lang w:val="en-US" w:eastAsia="zh-CN"/>
              </w:rPr>
            </w:pPr>
            <w:r>
              <w:rPr>
                <w:rFonts w:hint="eastAsia"/>
                <w:lang w:val="en-US" w:eastAsia="zh-CN"/>
              </w:rPr>
              <w:t>5</w:t>
            </w:r>
          </w:p>
        </w:tc>
        <w:tc>
          <w:tcPr>
            <w:tcW w:w="1225" w:type="dxa"/>
            <w:tcBorders>
              <w:top w:val="single" w:color="000000" w:sz="4" w:space="0"/>
              <w:left w:val="single" w:color="000000" w:sz="4" w:space="0"/>
              <w:bottom w:val="single" w:color="000000" w:sz="4" w:space="0"/>
              <w:right w:val="single" w:color="000000" w:sz="4" w:space="0"/>
            </w:tcBorders>
          </w:tcPr>
          <w:p w14:paraId="455C5209">
            <w:pPr>
              <w:jc w:val="left"/>
              <w:rPr>
                <w:rFonts w:hint="default" w:eastAsia="宋体"/>
                <w:lang w:val="en-US" w:eastAsia="zh-CN"/>
              </w:rPr>
            </w:pPr>
            <w:r>
              <w:rPr>
                <w:rFonts w:hint="eastAsia"/>
                <w:lang w:val="en-US" w:eastAsia="zh-CN"/>
              </w:rPr>
              <w:t>国际货运代理实务</w:t>
            </w:r>
          </w:p>
        </w:tc>
        <w:tc>
          <w:tcPr>
            <w:tcW w:w="2863" w:type="dxa"/>
            <w:tcBorders>
              <w:top w:val="single" w:color="000000" w:sz="4" w:space="0"/>
              <w:left w:val="single" w:color="000000" w:sz="4" w:space="0"/>
              <w:bottom w:val="single" w:color="000000" w:sz="4" w:space="0"/>
              <w:right w:val="single" w:color="000000" w:sz="4" w:space="0"/>
            </w:tcBorders>
          </w:tcPr>
          <w:p w14:paraId="6CDFA4B5">
            <w:pPr>
              <w:jc w:val="left"/>
              <w:rPr>
                <w:rFonts w:hint="eastAsia" w:eastAsia="宋体"/>
                <w:lang w:eastAsia="zh-CN"/>
              </w:rPr>
            </w:pPr>
            <w:r>
              <w:rPr>
                <w:rFonts w:hint="eastAsia" w:eastAsia="宋体"/>
                <w:lang w:eastAsia="zh-CN"/>
              </w:rPr>
              <w:t>① 国际货运作业管理。</w:t>
            </w:r>
          </w:p>
          <w:p w14:paraId="0DCD3515">
            <w:pPr>
              <w:jc w:val="left"/>
              <w:rPr>
                <w:rFonts w:hint="eastAsia" w:eastAsia="宋体"/>
                <w:lang w:eastAsia="zh-CN"/>
              </w:rPr>
            </w:pPr>
            <w:r>
              <w:rPr>
                <w:rFonts w:hint="eastAsia" w:eastAsia="宋体"/>
                <w:lang w:eastAsia="zh-CN"/>
              </w:rPr>
              <w:t>② 国际货运作业质量管理</w:t>
            </w:r>
          </w:p>
        </w:tc>
        <w:tc>
          <w:tcPr>
            <w:tcW w:w="3943" w:type="dxa"/>
            <w:tcBorders>
              <w:top w:val="single" w:color="000000" w:sz="4" w:space="0"/>
              <w:left w:val="single" w:color="000000" w:sz="4" w:space="0"/>
              <w:bottom w:val="single" w:color="000000" w:sz="4" w:space="0"/>
            </w:tcBorders>
          </w:tcPr>
          <w:p w14:paraId="44F3348D">
            <w:pPr>
              <w:jc w:val="left"/>
              <w:rPr>
                <w:rFonts w:hint="eastAsia"/>
                <w:lang w:val="en-US" w:eastAsia="zh-CN"/>
              </w:rPr>
            </w:pPr>
            <w:r>
              <w:rPr>
                <w:rFonts w:hint="eastAsia"/>
                <w:lang w:val="en-US" w:eastAsia="zh-CN"/>
              </w:rPr>
              <w:t>① 掌握国际货运作业计划编制方法和实施流程，能够制订国际货运作业计划并组织实施。</w:t>
            </w:r>
          </w:p>
          <w:p w14:paraId="6E354EC5">
            <w:pPr>
              <w:jc w:val="left"/>
              <w:rPr>
                <w:rFonts w:hint="eastAsia"/>
                <w:lang w:val="en-US" w:eastAsia="zh-CN"/>
              </w:rPr>
            </w:pPr>
            <w:r>
              <w:rPr>
                <w:rFonts w:hint="eastAsia"/>
                <w:lang w:val="en-US" w:eastAsia="zh-CN"/>
              </w:rPr>
              <w:t>② 掌握国际货运作业质量控制基本方法、基本内容和问题处理流程，能够对国际货运作业质量进行管理</w:t>
            </w:r>
          </w:p>
        </w:tc>
      </w:tr>
      <w:tr w14:paraId="4E1C8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000B92FE">
            <w:pPr>
              <w:jc w:val="left"/>
              <w:rPr>
                <w:rFonts w:hint="default" w:eastAsia="宋体"/>
                <w:lang w:val="en-US" w:eastAsia="zh-CN"/>
              </w:rPr>
            </w:pPr>
            <w:r>
              <w:rPr>
                <w:rFonts w:hint="eastAsia"/>
                <w:lang w:val="en-US" w:eastAsia="zh-CN"/>
              </w:rPr>
              <w:t>6</w:t>
            </w:r>
          </w:p>
        </w:tc>
        <w:tc>
          <w:tcPr>
            <w:tcW w:w="1225" w:type="dxa"/>
            <w:tcBorders>
              <w:top w:val="single" w:color="000000" w:sz="4" w:space="0"/>
              <w:left w:val="single" w:color="000000" w:sz="4" w:space="0"/>
              <w:bottom w:val="single" w:color="000000" w:sz="4" w:space="0"/>
              <w:right w:val="single" w:color="000000" w:sz="4" w:space="0"/>
            </w:tcBorders>
          </w:tcPr>
          <w:p w14:paraId="54BE3278">
            <w:pPr>
              <w:jc w:val="left"/>
              <w:rPr>
                <w:rFonts w:hint="default" w:eastAsia="宋体"/>
                <w:lang w:val="en-US" w:eastAsia="zh-CN"/>
              </w:rPr>
            </w:pPr>
            <w:r>
              <w:rPr>
                <w:rFonts w:hint="eastAsia"/>
                <w:lang w:val="en-US" w:eastAsia="zh-CN"/>
              </w:rPr>
              <w:t>物流成本与绩效管理</w:t>
            </w:r>
          </w:p>
        </w:tc>
        <w:tc>
          <w:tcPr>
            <w:tcW w:w="2863" w:type="dxa"/>
            <w:tcBorders>
              <w:top w:val="single" w:color="000000" w:sz="4" w:space="0"/>
              <w:left w:val="single" w:color="000000" w:sz="4" w:space="0"/>
              <w:bottom w:val="single" w:color="000000" w:sz="4" w:space="0"/>
              <w:right w:val="single" w:color="000000" w:sz="4" w:space="0"/>
            </w:tcBorders>
          </w:tcPr>
          <w:p w14:paraId="7E356B89">
            <w:pPr>
              <w:jc w:val="left"/>
              <w:rPr>
                <w:rFonts w:hint="eastAsia" w:eastAsia="宋体"/>
                <w:lang w:eastAsia="zh-CN"/>
              </w:rPr>
            </w:pPr>
            <w:r>
              <w:rPr>
                <w:rFonts w:hint="eastAsia" w:eastAsia="宋体"/>
                <w:lang w:eastAsia="zh-CN"/>
              </w:rPr>
              <w:t>① 物流成本核算。</w:t>
            </w:r>
          </w:p>
          <w:p w14:paraId="155514ED">
            <w:pPr>
              <w:jc w:val="left"/>
              <w:rPr>
                <w:rFonts w:hint="eastAsia" w:eastAsia="宋体"/>
                <w:lang w:eastAsia="zh-CN"/>
              </w:rPr>
            </w:pPr>
            <w:r>
              <w:rPr>
                <w:rFonts w:hint="eastAsia" w:eastAsia="宋体"/>
                <w:lang w:eastAsia="zh-CN"/>
              </w:rPr>
              <w:t>② 物流成本控制。</w:t>
            </w:r>
          </w:p>
          <w:p w14:paraId="1EAF0CB8">
            <w:pPr>
              <w:jc w:val="left"/>
              <w:rPr>
                <w:rFonts w:hint="eastAsia" w:eastAsia="宋体"/>
                <w:lang w:eastAsia="zh-CN"/>
              </w:rPr>
            </w:pPr>
            <w:r>
              <w:rPr>
                <w:rFonts w:hint="eastAsia" w:eastAsia="宋体"/>
                <w:lang w:eastAsia="zh-CN"/>
              </w:rPr>
              <w:t>③ 物流成本指标设置。</w:t>
            </w:r>
          </w:p>
          <w:p w14:paraId="0D02F77D">
            <w:pPr>
              <w:jc w:val="left"/>
              <w:rPr>
                <w:rFonts w:hint="eastAsia" w:eastAsia="宋体"/>
                <w:lang w:eastAsia="zh-CN"/>
              </w:rPr>
            </w:pPr>
            <w:r>
              <w:rPr>
                <w:rFonts w:hint="eastAsia" w:eastAsia="宋体"/>
                <w:lang w:eastAsia="zh-CN"/>
              </w:rPr>
              <w:t>④ 物流绩效管理</w:t>
            </w:r>
          </w:p>
        </w:tc>
        <w:tc>
          <w:tcPr>
            <w:tcW w:w="3943" w:type="dxa"/>
            <w:tcBorders>
              <w:top w:val="single" w:color="000000" w:sz="4" w:space="0"/>
              <w:left w:val="single" w:color="000000" w:sz="4" w:space="0"/>
              <w:bottom w:val="single" w:color="000000" w:sz="4" w:space="0"/>
            </w:tcBorders>
          </w:tcPr>
          <w:p w14:paraId="00E7B193">
            <w:pPr>
              <w:jc w:val="left"/>
              <w:rPr>
                <w:rFonts w:hint="eastAsia" w:eastAsia="宋体"/>
                <w:lang w:eastAsia="zh-CN"/>
              </w:rPr>
            </w:pPr>
            <w:r>
              <w:rPr>
                <w:rFonts w:hint="eastAsia" w:eastAsia="宋体"/>
                <w:lang w:eastAsia="zh-CN"/>
              </w:rPr>
              <w:t>① 掌握物流成本归集和核算的基本方法， 能够用作业成本法分离并核算间接物流成本及填写物流成本表。</w:t>
            </w:r>
          </w:p>
          <w:p w14:paraId="00DB1479">
            <w:pPr>
              <w:jc w:val="left"/>
              <w:rPr>
                <w:rFonts w:hint="eastAsia" w:eastAsia="宋体"/>
                <w:lang w:eastAsia="zh-CN"/>
              </w:rPr>
            </w:pPr>
            <w:r>
              <w:rPr>
                <w:rFonts w:hint="eastAsia" w:eastAsia="宋体"/>
                <w:lang w:eastAsia="zh-CN"/>
              </w:rPr>
              <w:t>② 掌握物流成本估算和预算编制步骤，能够用相关方法进行成本控制。</w:t>
            </w:r>
          </w:p>
          <w:p w14:paraId="4D751B3D">
            <w:pPr>
              <w:jc w:val="left"/>
              <w:rPr>
                <w:rFonts w:hint="default" w:eastAsia="宋体"/>
                <w:lang w:val="en-US" w:eastAsia="zh-CN"/>
              </w:rPr>
            </w:pPr>
            <w:r>
              <w:rPr>
                <w:rFonts w:hint="eastAsia" w:eastAsia="宋体"/>
                <w:lang w:eastAsia="zh-CN"/>
              </w:rPr>
              <w:t>③ 掌握常用的物流绩效考核分析的指标体系、工具及方法，能够对物流绩效结果进行分析和评价</w:t>
            </w:r>
          </w:p>
        </w:tc>
      </w:tr>
    </w:tbl>
    <w:p w14:paraId="39EE1616">
      <w:pPr>
        <w:spacing w:after="0"/>
        <w:jc w:val="left"/>
        <w:rPr>
          <w:sz w:val="18"/>
        </w:rPr>
        <w:sectPr>
          <w:pgSz w:w="10820" w:h="15080"/>
          <w:pgMar w:top="1420" w:right="800" w:bottom="1340" w:left="960" w:header="0" w:footer="1157" w:gutter="0"/>
          <w:cols w:space="720" w:num="1"/>
        </w:sectPr>
      </w:pPr>
    </w:p>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80" w:firstLineChars="200"/>
        <w:contextualSpacing/>
        <w:rPr>
          <w:rFonts w:hint="eastAsia"/>
          <w:sz w:val="24"/>
        </w:rPr>
      </w:pPr>
      <w:r>
        <w:rPr>
          <w:rFonts w:hint="eastAsia"/>
          <w:sz w:val="24"/>
        </w:rPr>
        <w:t>主要包括：</w:t>
      </w:r>
      <w:r>
        <w:rPr>
          <w:rFonts w:hint="eastAsia"/>
          <w:sz w:val="24"/>
          <w:lang w:val="en-US" w:eastAsia="zh-CN"/>
        </w:rPr>
        <w:t>国际贸易理论与实务</w:t>
      </w:r>
      <w:r>
        <w:rPr>
          <w:rFonts w:hint="eastAsia"/>
          <w:sz w:val="24"/>
        </w:rPr>
        <w:t>、办公软件高级应用</w:t>
      </w:r>
      <w:r>
        <w:rPr>
          <w:rFonts w:hint="eastAsia"/>
          <w:sz w:val="24"/>
          <w:lang w:eastAsia="zh-CN"/>
        </w:rPr>
        <w:t>（二级</w:t>
      </w:r>
      <w:r>
        <w:rPr>
          <w:rFonts w:hint="eastAsia"/>
          <w:sz w:val="24"/>
          <w:lang w:val="en-US" w:eastAsia="zh-CN"/>
        </w:rPr>
        <w:t>OFFICE高级应用</w:t>
      </w:r>
      <w:r>
        <w:rPr>
          <w:rFonts w:hint="eastAsia"/>
          <w:sz w:val="24"/>
          <w:lang w:eastAsia="zh-CN"/>
        </w:rPr>
        <w:t>）</w:t>
      </w:r>
      <w:r>
        <w:rPr>
          <w:rFonts w:hint="eastAsia"/>
          <w:sz w:val="24"/>
        </w:rPr>
        <w:t>、商务沟通</w:t>
      </w:r>
      <w:r>
        <w:rPr>
          <w:rFonts w:hint="eastAsia"/>
          <w:sz w:val="24"/>
          <w:lang w:eastAsia="zh-CN"/>
        </w:rPr>
        <w:t>（演讲</w:t>
      </w:r>
      <w:r>
        <w:rPr>
          <w:rFonts w:hint="eastAsia"/>
          <w:sz w:val="24"/>
          <w:lang w:val="en-US" w:eastAsia="zh-CN"/>
        </w:rPr>
        <w:t>与沟通</w:t>
      </w:r>
      <w:r>
        <w:rPr>
          <w:rFonts w:hint="eastAsia"/>
          <w:sz w:val="24"/>
          <w:lang w:eastAsia="zh-CN"/>
        </w:rPr>
        <w:t>）</w:t>
      </w:r>
      <w:r>
        <w:rPr>
          <w:rFonts w:hint="eastAsia"/>
          <w:sz w:val="24"/>
        </w:rPr>
        <w:t>、社交礼仪</w:t>
      </w:r>
      <w:r>
        <w:rPr>
          <w:rFonts w:hint="eastAsia"/>
          <w:sz w:val="24"/>
          <w:lang w:eastAsia="zh-CN"/>
        </w:rPr>
        <w:t>（商务</w:t>
      </w:r>
      <w:r>
        <w:rPr>
          <w:rFonts w:hint="eastAsia"/>
          <w:sz w:val="24"/>
          <w:lang w:val="en-US" w:eastAsia="zh-CN"/>
        </w:rPr>
        <w:t>谈判与礼仪</w:t>
      </w:r>
      <w:r>
        <w:rPr>
          <w:rFonts w:hint="eastAsia"/>
          <w:sz w:val="24"/>
          <w:lang w:eastAsia="zh-CN"/>
        </w:rPr>
        <w:t>）</w:t>
      </w:r>
      <w:r>
        <w:rPr>
          <w:rFonts w:hint="eastAsia"/>
          <w:sz w:val="24"/>
        </w:rPr>
        <w:t>、</w:t>
      </w:r>
      <w:r>
        <w:rPr>
          <w:rFonts w:hint="eastAsia"/>
          <w:sz w:val="24"/>
          <w:lang w:val="en-US" w:eastAsia="zh-CN"/>
        </w:rPr>
        <w:t>报关实务、第三方物流、客户服务与管理、精益生产运作管理</w:t>
      </w:r>
      <w:r>
        <w:rPr>
          <w:rFonts w:hint="eastAsia"/>
          <w:sz w:val="24"/>
        </w:rPr>
        <w:t>等领域的内容。</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28AEEB22">
      <w:pPr>
        <w:snapToGrid w:val="0"/>
        <w:spacing w:line="360" w:lineRule="auto"/>
        <w:ind w:firstLine="480" w:firstLineChars="200"/>
        <w:contextualSpacing/>
        <w:rPr>
          <w:rFonts w:hint="eastAsia"/>
          <w:sz w:val="24"/>
        </w:rPr>
      </w:pPr>
      <w:r>
        <w:rPr>
          <w:rFonts w:hint="eastAsia"/>
          <w:sz w:val="24"/>
        </w:rPr>
        <w:t>实践性教学应贯穿于人才培养全过程。实践性教学主要包括实验、实习实训、毕业设计、社会实践活动等形式，公共基础课程和专业课程都要加强实践性教学。</w:t>
      </w:r>
    </w:p>
    <w:p w14:paraId="160A36B8">
      <w:pPr>
        <w:numPr>
          <w:ilvl w:val="0"/>
          <w:numId w:val="5"/>
        </w:numPr>
        <w:snapToGrid w:val="0"/>
        <w:spacing w:line="360" w:lineRule="auto"/>
        <w:ind w:firstLine="480" w:firstLineChars="200"/>
        <w:contextualSpacing/>
        <w:rPr>
          <w:sz w:val="24"/>
        </w:rPr>
      </w:pPr>
      <w:r>
        <w:rPr>
          <w:sz w:val="24"/>
        </w:rPr>
        <w:t>实训</w:t>
      </w:r>
    </w:p>
    <w:p w14:paraId="106348E8">
      <w:pPr>
        <w:numPr>
          <w:numId w:val="0"/>
        </w:numPr>
        <w:snapToGrid w:val="0"/>
        <w:spacing w:line="360" w:lineRule="auto"/>
        <w:ind w:firstLine="480" w:firstLineChars="200"/>
        <w:contextualSpacing/>
        <w:rPr>
          <w:rFonts w:hint="eastAsia"/>
          <w:sz w:val="24"/>
        </w:rPr>
      </w:pPr>
      <w:r>
        <w:rPr>
          <w:rFonts w:hint="eastAsia"/>
          <w:sz w:val="24"/>
        </w:rPr>
        <w:t>在校内外进行智慧仓储作业、配送作业、物流运输作业、国际货运、物流系统规划设计等实训，包括单项技能实训、综合能力实训、生产性实训等。</w:t>
      </w:r>
    </w:p>
    <w:p w14:paraId="20E1E692">
      <w:pPr>
        <w:numPr>
          <w:ilvl w:val="0"/>
          <w:numId w:val="6"/>
        </w:numPr>
        <w:snapToGrid w:val="0"/>
        <w:spacing w:line="360" w:lineRule="auto"/>
        <w:ind w:firstLine="480" w:firstLineChars="200"/>
        <w:contextualSpacing/>
        <w:rPr>
          <w:sz w:val="24"/>
        </w:rPr>
      </w:pPr>
      <w:r>
        <w:rPr>
          <w:sz w:val="24"/>
        </w:rPr>
        <w:t>实习</w:t>
      </w:r>
    </w:p>
    <w:p w14:paraId="18BF992D">
      <w:pPr>
        <w:numPr>
          <w:numId w:val="0"/>
        </w:numPr>
        <w:snapToGrid w:val="0"/>
        <w:spacing w:line="360" w:lineRule="auto"/>
        <w:ind w:firstLine="480" w:firstLineChars="200"/>
        <w:contextualSpacing/>
        <w:rPr>
          <w:sz w:val="24"/>
        </w:rPr>
      </w:pPr>
      <w:r>
        <w:rPr>
          <w:rFonts w:hint="eastAsia"/>
          <w:sz w:val="24"/>
        </w:rPr>
        <w:t>在物流行业的仓储型物流企业、运输型物流企业、综合型物流企业、生产制造和销售型企业的物流部门、货运代理企业进行仓储运营、运输计划、配送运输、项目运营等实习，包括认识实习和岗位实习。学校应建立稳定、够用的实习基地，选派专门的实习指导教师和人员，组织开展专业对口实习，加强对学生实习的指导、管理和考核。</w:t>
      </w:r>
    </w:p>
    <w:p w14:paraId="15572B96">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23D6E8B3">
      <w:pPr>
        <w:snapToGrid w:val="0"/>
        <w:spacing w:line="360" w:lineRule="auto"/>
        <w:ind w:firstLine="480" w:firstLineChars="200"/>
        <w:contextualSpacing/>
        <w:rPr>
          <w:sz w:val="24"/>
        </w:rPr>
      </w:pPr>
      <w:r>
        <w:rPr>
          <w:rFonts w:hint="eastAsia"/>
          <w:sz w:val="24"/>
        </w:rPr>
        <w:t>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0F6EB94D">
      <w:pPr>
        <w:snapToGrid w:val="0"/>
        <w:spacing w:line="360" w:lineRule="auto"/>
        <w:ind w:firstLine="480" w:firstLineChars="200"/>
        <w:contextualSpacing/>
        <w:rPr>
          <w:sz w:val="24"/>
        </w:rPr>
      </w:pPr>
    </w:p>
    <w:p w14:paraId="1A9029A9">
      <w:pPr>
        <w:snapToGrid w:val="0"/>
        <w:spacing w:line="360" w:lineRule="auto"/>
        <w:ind w:firstLine="480" w:firstLineChars="200"/>
        <w:contextualSpacing/>
        <w:rPr>
          <w:sz w:val="24"/>
        </w:rPr>
      </w:pPr>
    </w:p>
    <w:p w14:paraId="2CD8079A">
      <w:pPr>
        <w:snapToGrid w:val="0"/>
        <w:spacing w:line="360" w:lineRule="auto"/>
        <w:ind w:firstLine="480" w:firstLineChars="200"/>
        <w:contextualSpacing/>
        <w:rPr>
          <w:sz w:val="24"/>
        </w:rPr>
      </w:pP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6" w:name="_Toc197702700"/>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1"/>
        <w:gridCol w:w="1721"/>
        <w:gridCol w:w="1777"/>
        <w:gridCol w:w="1667"/>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0"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919"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62"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89"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0"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688</w:t>
            </w:r>
          </w:p>
        </w:tc>
        <w:tc>
          <w:tcPr>
            <w:tcW w:w="919"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358</w:t>
            </w:r>
          </w:p>
        </w:tc>
        <w:tc>
          <w:tcPr>
            <w:tcW w:w="862"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330</w:t>
            </w:r>
          </w:p>
        </w:tc>
        <w:tc>
          <w:tcPr>
            <w:tcW w:w="889" w:type="pct"/>
            <w:shd w:val="clear" w:color="auto" w:fill="auto"/>
            <w:noWrap/>
            <w:vAlign w:val="center"/>
          </w:tcPr>
          <w:p w14:paraId="2A26FCF9">
            <w:pPr>
              <w:snapToGrid w:val="0"/>
              <w:spacing w:line="360" w:lineRule="auto"/>
              <w:jc w:val="center"/>
              <w:rPr>
                <w:b/>
                <w:sz w:val="24"/>
                <w:szCs w:val="28"/>
              </w:rPr>
            </w:pP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0"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224</w:t>
            </w:r>
          </w:p>
        </w:tc>
        <w:tc>
          <w:tcPr>
            <w:tcW w:w="919"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144</w:t>
            </w:r>
          </w:p>
        </w:tc>
        <w:tc>
          <w:tcPr>
            <w:tcW w:w="862"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89" w:type="pct"/>
            <w:shd w:val="clear" w:color="auto" w:fill="auto"/>
            <w:noWrap/>
            <w:vAlign w:val="center"/>
          </w:tcPr>
          <w:p w14:paraId="550155A1">
            <w:pPr>
              <w:snapToGrid w:val="0"/>
              <w:spacing w:line="360" w:lineRule="auto"/>
              <w:jc w:val="center"/>
              <w:rPr>
                <w:b/>
                <w:sz w:val="24"/>
                <w:szCs w:val="28"/>
              </w:rPr>
            </w:pP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0"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384</w:t>
            </w:r>
          </w:p>
        </w:tc>
        <w:tc>
          <w:tcPr>
            <w:tcW w:w="919"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200</w:t>
            </w:r>
          </w:p>
        </w:tc>
        <w:tc>
          <w:tcPr>
            <w:tcW w:w="862"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164</w:t>
            </w:r>
          </w:p>
        </w:tc>
        <w:tc>
          <w:tcPr>
            <w:tcW w:w="889" w:type="pct"/>
            <w:shd w:val="clear" w:color="auto" w:fill="auto"/>
            <w:noWrap/>
            <w:vAlign w:val="center"/>
          </w:tcPr>
          <w:p w14:paraId="1DC1F6D4">
            <w:pPr>
              <w:snapToGrid w:val="0"/>
              <w:spacing w:line="360" w:lineRule="auto"/>
              <w:jc w:val="center"/>
              <w:rPr>
                <w:b/>
                <w:sz w:val="24"/>
                <w:szCs w:val="28"/>
              </w:rPr>
            </w:pP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0"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919"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62"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89" w:type="pct"/>
            <w:shd w:val="clear" w:color="auto" w:fill="auto"/>
            <w:noWrap/>
            <w:vAlign w:val="center"/>
          </w:tcPr>
          <w:p w14:paraId="2BCF1B97">
            <w:pPr>
              <w:snapToGrid w:val="0"/>
              <w:spacing w:line="360" w:lineRule="auto"/>
              <w:jc w:val="center"/>
              <w:rPr>
                <w:b/>
                <w:sz w:val="24"/>
                <w:szCs w:val="28"/>
              </w:rPr>
            </w:pP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0"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320</w:t>
            </w:r>
          </w:p>
        </w:tc>
        <w:tc>
          <w:tcPr>
            <w:tcW w:w="919"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160</w:t>
            </w:r>
          </w:p>
        </w:tc>
        <w:tc>
          <w:tcPr>
            <w:tcW w:w="862"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160</w:t>
            </w:r>
          </w:p>
        </w:tc>
        <w:tc>
          <w:tcPr>
            <w:tcW w:w="889" w:type="pct"/>
            <w:shd w:val="clear" w:color="auto" w:fill="auto"/>
            <w:noWrap/>
            <w:vAlign w:val="center"/>
          </w:tcPr>
          <w:p w14:paraId="01CE14DD">
            <w:pPr>
              <w:snapToGrid w:val="0"/>
              <w:spacing w:line="360" w:lineRule="auto"/>
              <w:jc w:val="center"/>
              <w:rPr>
                <w:b/>
                <w:sz w:val="24"/>
                <w:szCs w:val="28"/>
              </w:rPr>
            </w:pP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0"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984</w:t>
            </w:r>
          </w:p>
        </w:tc>
        <w:tc>
          <w:tcPr>
            <w:tcW w:w="919"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62"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984</w:t>
            </w:r>
          </w:p>
        </w:tc>
        <w:tc>
          <w:tcPr>
            <w:tcW w:w="889" w:type="pct"/>
            <w:shd w:val="clear" w:color="auto" w:fill="auto"/>
            <w:noWrap/>
            <w:vAlign w:val="center"/>
          </w:tcPr>
          <w:p w14:paraId="73283FD6">
            <w:pPr>
              <w:snapToGrid w:val="0"/>
              <w:spacing w:line="360" w:lineRule="auto"/>
              <w:jc w:val="center"/>
              <w:rPr>
                <w:rFonts w:hint="default" w:eastAsia="宋体"/>
                <w:b/>
                <w:sz w:val="24"/>
                <w:szCs w:val="28"/>
                <w:lang w:val="en-US" w:eastAsia="zh-CN"/>
              </w:rPr>
            </w:pP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0"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2824</w:t>
            </w:r>
          </w:p>
        </w:tc>
        <w:tc>
          <w:tcPr>
            <w:tcW w:w="919"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942</w:t>
            </w:r>
          </w:p>
        </w:tc>
        <w:tc>
          <w:tcPr>
            <w:tcW w:w="862"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1882</w:t>
            </w:r>
          </w:p>
        </w:tc>
        <w:tc>
          <w:tcPr>
            <w:tcW w:w="889" w:type="pct"/>
            <w:shd w:val="clear" w:color="auto" w:fill="auto"/>
            <w:noWrap/>
            <w:vAlign w:val="center"/>
          </w:tcPr>
          <w:p w14:paraId="7BAECF28">
            <w:pPr>
              <w:tabs>
                <w:tab w:val="center" w:pos="752"/>
                <w:tab w:val="center" w:pos="812"/>
              </w:tabs>
              <w:snapToGrid w:val="0"/>
              <w:spacing w:line="360" w:lineRule="auto"/>
              <w:jc w:val="center"/>
              <w:rPr>
                <w:rFonts w:hint="eastAsia" w:ascii="宋体" w:hAnsi="宋体"/>
                <w:vanish/>
                <w:color w:val="FF0000"/>
                <w:sz w:val="24"/>
                <w:szCs w:val="22"/>
              </w:rPr>
            </w:pPr>
            <w:r>
              <w:rPr>
                <w:rFonts w:hint="eastAsia"/>
                <w:b/>
                <w:sz w:val="24"/>
                <w:szCs w:val="28"/>
                <w:lang w:val="en-US" w:eastAsia="zh-CN"/>
              </w:rPr>
              <w:t>66.64%</w:t>
            </w:r>
            <w:r>
              <w:rPr>
                <w:rFonts w:hint="eastAsia" w:ascii="宋体" w:hAnsi="宋体"/>
                <w:vanish/>
                <w:color w:val="FF0000"/>
                <w:sz w:val="24"/>
                <w:szCs w:val="22"/>
                <w:lang w:val="en-US" w:eastAsia="zh-CN"/>
              </w:rPr>
              <w:t>6222222225</w:t>
            </w:r>
            <w:r>
              <w:rPr>
                <w:rFonts w:hint="eastAsia" w:ascii="宋体" w:hAnsi="宋体"/>
                <w:vanish/>
                <w:color w:val="FF0000"/>
                <w:sz w:val="24"/>
                <w:szCs w:val="22"/>
                <w:lang w:val="en-US" w:eastAsia="zh-CN"/>
              </w:rPr>
              <w:tab/>
              <w:t>62</w:t>
            </w:r>
            <w:r>
              <w:rPr>
                <w:rFonts w:hint="eastAsia" w:ascii="宋体" w:hAnsi="宋体"/>
                <w:vanish/>
                <w:color w:val="FF0000"/>
                <w:sz w:val="24"/>
                <w:szCs w:val="22"/>
                <w:lang w:val="en-US" w:eastAsia="zh-CN"/>
              </w:rPr>
              <w:tab/>
              <w:t/>
            </w:r>
            <w:r>
              <w:rPr>
                <w:rFonts w:hint="eastAsia" w:ascii="宋体" w:hAnsi="宋体"/>
                <w:vanish/>
                <w:color w:val="FF0000"/>
                <w:sz w:val="24"/>
                <w:szCs w:val="22"/>
                <w:lang w:val="en-US" w:eastAsia="zh-CN"/>
              </w:rPr>
              <w:tab/>
              <w:t>62.2862.2862</w:t>
            </w:r>
            <w:r>
              <w:rPr>
                <w:rFonts w:hint="eastAsia" w:ascii="宋体" w:hAnsi="宋体"/>
                <w:vanish/>
                <w:color w:val="FF0000"/>
                <w:sz w:val="24"/>
                <w:szCs w:val="22"/>
              </w:rPr>
              <w:t>要求＞</w:t>
            </w:r>
            <w:r>
              <w:rPr>
                <w:rFonts w:ascii="宋体" w:hAnsi="宋体"/>
                <w:vanish/>
                <w:color w:val="FF0000"/>
                <w:sz w:val="24"/>
                <w:szCs w:val="22"/>
              </w:rPr>
              <w:t>50%</w:t>
            </w:r>
          </w:p>
        </w:tc>
      </w:tr>
    </w:tbl>
    <w:p w14:paraId="49E00998">
      <w:pPr>
        <w:widowControl/>
        <w:jc w:val="left"/>
      </w:pPr>
      <w:r>
        <w:rPr>
          <w:sz w:val="24"/>
        </w:rPr>
        <w:br w:type="page"/>
      </w:r>
      <w:bookmarkStart w:id="17" w:name="_Toc197702701"/>
      <w:r>
        <w:t>教学计划进程表</w:t>
      </w:r>
      <w:bookmarkStart w:id="18" w:name="_Toc422736381"/>
    </w:p>
    <w:p w14:paraId="64F85F79">
      <w:pPr>
        <w:pStyle w:val="3"/>
        <w:numPr>
          <w:numId w:val="0"/>
        </w:numPr>
        <w:spacing w:line="360" w:lineRule="auto"/>
        <w:ind w:leftChars="-3"/>
      </w:pPr>
      <w:r>
        <w:drawing>
          <wp:inline distT="0" distB="0" distL="114300" distR="114300">
            <wp:extent cx="5997575" cy="8257540"/>
            <wp:effectExtent l="0" t="0" r="3175" b="1016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5997575" cy="8257540"/>
                    </a:xfrm>
                    <a:prstGeom prst="rect">
                      <a:avLst/>
                    </a:prstGeom>
                    <a:noFill/>
                    <a:ln>
                      <a:noFill/>
                    </a:ln>
                  </pic:spPr>
                </pic:pic>
              </a:graphicData>
            </a:graphic>
          </wp:inline>
        </w:drawing>
      </w:r>
    </w:p>
    <w:p w14:paraId="46CAD750">
      <w:pPr>
        <w:pStyle w:val="3"/>
        <w:numPr>
          <w:numId w:val="0"/>
        </w:numPr>
        <w:spacing w:line="360" w:lineRule="auto"/>
        <w:ind w:leftChars="-3"/>
      </w:pPr>
    </w:p>
    <w:p w14:paraId="5C4A4853">
      <w:pPr>
        <w:pStyle w:val="3"/>
        <w:numPr>
          <w:numId w:val="0"/>
        </w:numPr>
        <w:spacing w:line="360" w:lineRule="auto"/>
        <w:ind w:leftChars="-3"/>
        <w:rPr>
          <w:sz w:val="24"/>
          <w:szCs w:val="22"/>
        </w:rPr>
      </w:pPr>
      <w:bookmarkStart w:id="29" w:name="_GoBack"/>
      <w:bookmarkEnd w:id="29"/>
      <w:r>
        <w:rPr>
          <w:rFonts w:hint="eastAsia"/>
          <w:vanish/>
          <w:color w:val="FF0000"/>
          <w:sz w:val="24"/>
          <w:szCs w:val="22"/>
        </w:rPr>
        <w:t>在excel表中计算后复制粘贴进来）</w:t>
      </w:r>
      <w:bookmarkEnd w:id="17"/>
    </w:p>
    <w:bookmarkEnd w:id="3"/>
    <w:bookmarkEnd w:id="18"/>
    <w:p w14:paraId="39A7FEDA">
      <w:pPr>
        <w:pStyle w:val="3"/>
        <w:spacing w:line="360" w:lineRule="auto"/>
      </w:pPr>
      <w:bookmarkStart w:id="19" w:name="_Toc197702702"/>
      <w:bookmarkStart w:id="20" w:name="OLE_LINK2"/>
      <w:bookmarkStart w:id="21" w:name="OLE_LINK3"/>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rPr>
        <w:t xml:space="preserve">   </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4" w:name="_bookmark15"/>
      <w:bookmarkEnd w:id="24"/>
      <w:bookmarkStart w:id="25" w:name="_Toc197702704"/>
      <w:r>
        <w:t>（二）教学设施</w:t>
      </w:r>
      <w:bookmarkEnd w:id="25"/>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2CA91C19">
      <w:pPr>
        <w:snapToGrid w:val="0"/>
        <w:spacing w:line="360" w:lineRule="auto"/>
        <w:ind w:firstLine="482" w:firstLineChars="200"/>
        <w:contextualSpacing/>
        <w:rPr>
          <w:b/>
          <w:bCs/>
          <w:sz w:val="24"/>
        </w:rPr>
      </w:pPr>
    </w:p>
    <w:p w14:paraId="3029FDBC">
      <w:pPr>
        <w:snapToGrid w:val="0"/>
        <w:spacing w:line="360" w:lineRule="auto"/>
        <w:ind w:firstLine="482" w:firstLineChars="200"/>
        <w:contextualSpacing/>
        <w:rPr>
          <w:b/>
          <w:bCs/>
          <w:sz w:val="24"/>
        </w:rPr>
      </w:pP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816B2C4">
      <w:pPr>
        <w:pStyle w:val="7"/>
        <w:spacing w:after="0" w:line="360" w:lineRule="auto"/>
        <w:ind w:firstLine="464" w:firstLineChars="200"/>
        <w:rPr>
          <w:rFonts w:hint="eastAsia" w:ascii="宋体" w:hAnsi="宋体" w:cs="仿宋"/>
          <w:spacing w:val="-4"/>
          <w:sz w:val="24"/>
        </w:rPr>
      </w:pP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rPr>
        <w:t xml:space="preserve">     </w:t>
      </w:r>
      <w:r>
        <w:rPr>
          <w:sz w:val="24"/>
        </w:rPr>
        <w:t>技术、方法、思维以及实务操作类图书，</w:t>
      </w:r>
      <w:r>
        <w:rPr>
          <w:rFonts w:hint="eastAsia"/>
          <w:sz w:val="24"/>
        </w:rPr>
        <w:t xml:space="preserve">          </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8" w:name="_Toc197702706"/>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2025年6月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MS Mincho">
    <w:altName w:val="Kozuka Mincho Pr6N M"/>
    <w:panose1 w:val="02020609040205080304"/>
    <w:charset w:val="80"/>
    <w:family w:val="modern"/>
    <w:pitch w:val="default"/>
    <w:sig w:usb0="00000000" w:usb1="00000000" w:usb2="08000012" w:usb3="00000000" w:csb0="0002009F" w:csb1="00000000"/>
  </w:font>
  <w:font w:name="Kozuka Mincho Pr6N M">
    <w:panose1 w:val="02020600000000000000"/>
    <w:charset w:val="80"/>
    <w:family w:val="auto"/>
    <w:pitch w:val="default"/>
    <w:sig w:usb0="000002D7" w:usb1="2AC71C11" w:usb2="00000012" w:usb3="00000000" w:csb0="2002009F" w:csb1="00000000"/>
  </w:font>
  <w:font w:name="Calibri Light">
    <w:panose1 w:val="020F03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 w:name="华文中宋">
    <w:altName w:val="宋体"/>
    <w:panose1 w:val="00000000000000000000"/>
    <w:charset w:val="00"/>
    <w:family w:val="auto"/>
    <w:pitch w:val="default"/>
    <w:sig w:usb0="00000000" w:usb1="00000000" w:usb2="00000000" w:usb3="00000000" w:csb0="00000000" w:csb1="00000000"/>
  </w:font>
  <w:font w:name="Noto Sans SC">
    <w:panose1 w:val="020B0500000000000000"/>
    <w:charset w:val="80"/>
    <w:family w:val="swiss"/>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9097CD"/>
    <w:multiLevelType w:val="singleLevel"/>
    <w:tmpl w:val="069097CD"/>
    <w:lvl w:ilvl="0" w:tentative="0">
      <w:start w:val="1"/>
      <w:numFmt w:val="decimal"/>
      <w:suff w:val="nothing"/>
      <w:lvlText w:val="（%1）"/>
      <w:lvlJc w:val="left"/>
    </w:lvl>
  </w:abstractNum>
  <w:abstractNum w:abstractNumId="1">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2">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680F2503"/>
    <w:multiLevelType w:val="singleLevel"/>
    <w:tmpl w:val="680F2503"/>
    <w:lvl w:ilvl="0" w:tentative="0">
      <w:start w:val="2"/>
      <w:numFmt w:val="decimal"/>
      <w:suff w:val="nothing"/>
      <w:lvlText w:val="（%1）"/>
      <w:lvlJc w:val="left"/>
    </w:lvl>
  </w:abstractNum>
  <w:abstractNum w:abstractNumId="5">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2"/>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55938"/>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6FC3783"/>
    <w:rsid w:val="0FC14BAE"/>
    <w:rsid w:val="17E21B65"/>
    <w:rsid w:val="18616F2E"/>
    <w:rsid w:val="19A74E14"/>
    <w:rsid w:val="2D801AFD"/>
    <w:rsid w:val="2E005886"/>
    <w:rsid w:val="2F48454C"/>
    <w:rsid w:val="311923D4"/>
    <w:rsid w:val="32C959A4"/>
    <w:rsid w:val="41656994"/>
    <w:rsid w:val="46736408"/>
    <w:rsid w:val="4BB5041C"/>
    <w:rsid w:val="4C365A00"/>
    <w:rsid w:val="67926EE2"/>
    <w:rsid w:val="688F348F"/>
    <w:rsid w:val="6B3453A9"/>
    <w:rsid w:val="75894543"/>
    <w:rsid w:val="75C578AC"/>
    <w:rsid w:val="77FE2F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qFormat/>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qFormat/>
    <w:uiPriority w:val="0"/>
    <w:rPr>
      <w:rFonts w:ascii="黑体" w:hAnsi="黑体" w:eastAsia="黑体" w:cs="Times New Roman"/>
      <w:bCs/>
      <w:color w:val="000000"/>
      <w:kern w:val="2"/>
      <w:szCs w:val="24"/>
    </w:rPr>
  </w:style>
  <w:style w:type="paragraph" w:customStyle="1" w:styleId="1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6113</Words>
  <Characters>6286</Characters>
  <Lines>49</Lines>
  <Paragraphs>13</Paragraphs>
  <TotalTime>7</TotalTime>
  <ScaleCrop>false</ScaleCrop>
  <LinksUpToDate>false</LinksUpToDate>
  <CharactersWithSpaces>6471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穿山甲</cp:lastModifiedBy>
  <cp:lastPrinted>2025-06-17T02:34:00Z</cp:lastPrinted>
  <dcterms:modified xsi:type="dcterms:W3CDTF">2025-06-27T10:28:22Z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eyJoZGlkIjoiMzYzZjhlZWUxZjJmMGM4NjEzN2MxZjQ4OWRmMTY3YmUiLCJ1c2VySWQiOiI0NjEzMjgxMTAifQ==</vt:lpwstr>
  </property>
  <property fmtid="{D5CDD505-2E9C-101B-9397-08002B2CF9AE}" pid="3" name="KSOProductBuildVer">
    <vt:lpwstr>2052-12.1.0.21541</vt:lpwstr>
  </property>
  <property fmtid="{D5CDD505-2E9C-101B-9397-08002B2CF9AE}" pid="4" name="ICV">
    <vt:lpwstr>BE7D39D11A9A499FBA3DABF43CC5C667_13</vt:lpwstr>
  </property>
</Properties>
</file>