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22736380"/>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eastAsia" w:ascii="仿宋" w:hAnsi="仿宋" w:eastAsia="仿宋"/>
                <w:sz w:val="32"/>
                <w:szCs w:val="32"/>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806842591"/>
              </w:rPr>
              <w:t>专</w:t>
            </w:r>
            <w:r>
              <w:rPr>
                <w:rFonts w:hint="eastAsia" w:ascii="仿宋" w:hAnsi="仿宋" w:eastAsia="仿宋"/>
                <w:spacing w:val="0"/>
                <w:kern w:val="0"/>
                <w:sz w:val="32"/>
                <w:szCs w:val="32"/>
                <w:fitText w:val="960" w:id="1806842591"/>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rPr>
            </w:pPr>
            <w:r>
              <w:rPr>
                <w:rFonts w:hint="eastAsia" w:ascii="仿宋" w:hAnsi="仿宋" w:eastAsia="仿宋" w:cs="Times New Roman"/>
                <w:sz w:val="32"/>
                <w:szCs w:val="32"/>
                <w:lang w:val="en-US" w:eastAsia="zh-CN"/>
              </w:rPr>
              <w:t>广告艺术设计</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王文仪、陈哲</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rPr>
            </w:pPr>
            <w:r>
              <w:rPr>
                <w:rFonts w:hint="eastAsia" w:ascii="仿宋" w:hAnsi="仿宋" w:eastAsia="仿宋"/>
                <w:sz w:val="32"/>
                <w:szCs w:val="32"/>
                <w:lang w:val="en-US" w:eastAsia="zh-CN"/>
              </w:rPr>
              <w:t>陈哲</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r>
              <w:rPr>
                <w:rFonts w:hint="eastAsia" w:ascii="仿宋" w:hAnsi="仿宋" w:eastAsia="仿宋"/>
                <w:sz w:val="32"/>
                <w:szCs w:val="32"/>
              </w:rPr>
              <w:t>张聪</w:t>
            </w:r>
          </w:p>
        </w:tc>
      </w:tr>
    </w:tbl>
    <w:p w14:paraId="0EC94CEF">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47B78F7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5B42806">
          <w:pPr>
            <w:rPr>
              <w:rFonts w:hint="eastAsia"/>
            </w:rPr>
          </w:pPr>
        </w:p>
        <w:p w14:paraId="69826901">
          <w:pPr>
            <w:rPr>
              <w:sz w:val="24"/>
            </w:rPr>
          </w:pPr>
          <w:r>
            <w:rPr>
              <w:b/>
              <w:bCs/>
              <w:sz w:val="24"/>
              <w:lang w:val="zh-CN"/>
            </w:rPr>
            <w:fldChar w:fldCharType="end"/>
          </w:r>
        </w:p>
      </w:sdtContent>
    </w:sdt>
    <w:p w14:paraId="33D45D52">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rPr>
        <w:t>广告艺术设计</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ind w:left="423" w:leftChars="0" w:firstLineChars="0"/>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ascii="Times New Roman" w:hAnsi="Times New Roman" w:eastAsia="宋体" w:cs="Times New Roman"/>
          <w:sz w:val="24"/>
          <w:szCs w:val="32"/>
        </w:rPr>
        <w:t>广告艺术设计（550113）</w:t>
      </w:r>
    </w:p>
    <w:p w14:paraId="0959D159">
      <w:pPr>
        <w:pStyle w:val="3"/>
        <w:spacing w:line="360" w:lineRule="auto"/>
        <w:ind w:left="423" w:leftChars="0" w:firstLineChars="0"/>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ind w:left="423" w:leftChars="0" w:firstLineChars="0"/>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B133F6">
            <w:pPr>
              <w:jc w:val="center"/>
              <w:rPr>
                <w:sz w:val="24"/>
              </w:rPr>
            </w:pPr>
            <w:r>
              <w:rPr>
                <w:rFonts w:hint="eastAsia"/>
                <w:sz w:val="24"/>
                <w:szCs w:val="32"/>
              </w:rPr>
              <w:t>文化艺术大类（55）</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99CBC12">
            <w:pPr>
              <w:jc w:val="center"/>
              <w:rPr>
                <w:sz w:val="24"/>
              </w:rPr>
            </w:pPr>
            <w:r>
              <w:rPr>
                <w:rFonts w:hint="eastAsia"/>
                <w:sz w:val="24"/>
                <w:szCs w:val="32"/>
              </w:rPr>
              <w:t>艺术设计类（5501）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jc w:val="center"/>
              <w:rPr>
                <w:sz w:val="24"/>
              </w:rPr>
            </w:pPr>
            <w:r>
              <w:rPr>
                <w:rFonts w:ascii="宋体" w:hAnsi="宋体" w:eastAsia="宋体" w:cs="宋体"/>
                <w:sz w:val="24"/>
                <w:szCs w:val="24"/>
              </w:rPr>
              <w:t>广告业（725）</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snapToGrid w:val="0"/>
              <w:contextualSpacing/>
              <w:jc w:val="center"/>
              <w:rPr>
                <w:sz w:val="24"/>
              </w:rPr>
            </w:pPr>
            <w:r>
              <w:rPr>
                <w:rFonts w:ascii="宋体" w:hAnsi="宋体" w:eastAsia="宋体" w:cs="宋体"/>
                <w:sz w:val="24"/>
                <w:szCs w:val="24"/>
              </w:rPr>
              <w:t>专业化设计服务人员（4-08-08）</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snapToGrid w:val="0"/>
              <w:contextualSpacing/>
              <w:jc w:val="center"/>
              <w:rPr>
                <w:sz w:val="24"/>
              </w:rPr>
            </w:pPr>
            <w:r>
              <w:rPr>
                <w:rFonts w:ascii="宋体" w:hAnsi="宋体" w:eastAsia="宋体" w:cs="宋体"/>
                <w:sz w:val="24"/>
                <w:szCs w:val="24"/>
              </w:rPr>
              <w:t>广告设计、广告策划、广告制作、广告摄影（像）</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jc w:val="center"/>
              <w:rPr>
                <w:sz w:val="24"/>
              </w:rPr>
            </w:pPr>
            <w:r>
              <w:rPr>
                <w:rFonts w:ascii="宋体" w:hAnsi="宋体" w:eastAsia="宋体" w:cs="宋体"/>
                <w:sz w:val="24"/>
                <w:szCs w:val="24"/>
              </w:rPr>
              <w:t>数字媒体交互设计、文创产品数字化设计、界面设计</w:t>
            </w:r>
          </w:p>
        </w:tc>
      </w:tr>
    </w:tbl>
    <w:p w14:paraId="3A66845D">
      <w:pPr>
        <w:pStyle w:val="3"/>
        <w:spacing w:line="360" w:lineRule="auto"/>
        <w:ind w:left="423" w:leftChars="0" w:firstLineChars="0"/>
      </w:pPr>
      <w:bookmarkStart w:id="7" w:name="_Toc197702691"/>
      <w:r>
        <w:t>培养目标</w:t>
      </w:r>
    </w:p>
    <w:p w14:paraId="3E3C3D98">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pPr>
      <w:r>
        <w:rPr>
          <w:rFonts w:ascii="宋体" w:hAnsi="宋体" w:eastAsia="宋体" w:cs="宋体"/>
          <w:sz w:val="24"/>
          <w:szCs w:val="24"/>
        </w:rPr>
        <w:t xml:space="preserve">本专业培养能够践行社会主义核心价值观，传承技能文明，德智体美劳全面发展，具有一定的科学文化水平，良好的人文素养、科学素养、数字素养、职业道德、创新意识，爱岗 敬业的职业精神和精益求精的工匠精神，较强的就业创业能力和可持续发展的能力，掌握本专业知识和技术技能，具备职业综合素质和行动能力，面向广告行业的专业化设计服务人员 的广告设计、广告策划、广告制作、广告摄影（像）职业，能够从事品牌识别系统设计、平面广告设计、广告策划与创意、数字广告设计、视频广告设计等工作的高技能人才。 </w:t>
      </w:r>
      <w:r>
        <w:rPr>
          <w:rFonts w:hint="eastAsia"/>
          <w:vanish/>
          <w:color w:val="FF0000"/>
        </w:rPr>
        <w:t>（参照教育部标准）</w:t>
      </w:r>
      <w:bookmarkEnd w:id="7"/>
    </w:p>
    <w:p w14:paraId="197523BD">
      <w:pPr>
        <w:pStyle w:val="3"/>
        <w:spacing w:line="360" w:lineRule="auto"/>
        <w:ind w:left="423" w:leftChars="0" w:firstLineChars="0"/>
      </w:pPr>
      <w:bookmarkStart w:id="8" w:name="_Toc197702692"/>
      <w:r>
        <w:t>培养</w:t>
      </w:r>
      <w:r>
        <w:rPr>
          <w:rFonts w:hint="eastAsia"/>
        </w:rPr>
        <w:t>规格</w:t>
      </w:r>
    </w:p>
    <w:p w14:paraId="7FF1CD4D">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本专业学生应在系统学习本专业知识并完成有关实习实训基础上，全面提升知识、能力、 素质，掌握并实际运用岗位（群）需要的专业核心技术技能，实现德智体美劳全面发展，总体上须达到以下要求：</w:t>
      </w:r>
    </w:p>
    <w:p w14:paraId="11FE4E0F">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（1）坚定拥护中国共产党领导和中国特色社会主义制度，以习近平新时代中国特色社会 主义思想为指导，践行社会主义核心价值观，具有坚定的理想信念、深厚的爱国情感和中华 民族自豪感；</w:t>
      </w:r>
    </w:p>
    <w:p w14:paraId="7FC9E4E1">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（2）掌握与本专业对应职业活动相关的国家法律、行业规定，掌握绿色生产、环境保护、 安全防护、质量管理等相关知识与技能，了解相关行业文化，具有爱岗敬业的职业精神，遵守职业道德准则和行为规范，具备社会责任感和担当精神；</w:t>
      </w:r>
    </w:p>
    <w:p w14:paraId="5BDF8C4D">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（3）掌握支撑本专业学习和可持续发展必备的语文、外语（英语等）、信息技术等文化基础知识，具有良好的人文素养与科学素养，具备职业生涯规划能力；</w:t>
      </w:r>
    </w:p>
    <w:p w14:paraId="54C5AB0A">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（4）具有良好的语言表达能力、文字表达能力、沟通合作能力，具有较强的集体意识和 团队合作意识，学习1门外语并结合本专业加以运用；</w:t>
      </w:r>
    </w:p>
    <w:p w14:paraId="1CA6DA9F">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（5）掌握平面设计、广告设计等方面的专业基础理论知识，具有用户与市场调研，信息分类以及市场营销、品牌策划与设计制作能力；</w:t>
      </w:r>
    </w:p>
    <w:p w14:paraId="2D8464D7">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（6）具有图形、色彩、标志、字体创意设计与制作能力；</w:t>
      </w:r>
    </w:p>
    <w:p w14:paraId="6CE25A60">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（7）具有数字摄影、数字摄像及视频编辑能力；</w:t>
      </w:r>
    </w:p>
    <w:p w14:paraId="71341735">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（8）具有图像处理、版面编排设计与制作能力；</w:t>
      </w:r>
    </w:p>
    <w:p w14:paraId="2BF63B7A">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3" w:firstLine="480" w:firstLineChars="200"/>
        <w:textAlignment w:val="auto"/>
        <w:rPr>
          <w:rFonts w:ascii="宋体" w:hAnsi="宋体" w:eastAsia="宋体" w:cs="宋体"/>
          <w:sz w:val="24"/>
          <w:szCs w:val="24"/>
        </w:rPr>
      </w:pPr>
      <w:r>
        <w:rPr>
          <w:rFonts w:ascii="宋体" w:hAnsi="宋体" w:eastAsia="宋体" w:cs="宋体"/>
          <w:sz w:val="24"/>
          <w:szCs w:val="24"/>
        </w:rPr>
        <w:t xml:space="preserve"> （9）具有广告法律法规知识及多媒体、融媒体技术等应用能力；</w:t>
      </w:r>
    </w:p>
    <w:p w14:paraId="7024C62D">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（10）具有一定的应用科学技术和协同创新的能力；</w:t>
      </w:r>
    </w:p>
    <w:p w14:paraId="73435125">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（11）掌握信息技术基础知识，具有适应本行业数字化和智能化发展需求的数字技</w:t>
      </w:r>
    </w:p>
    <w:p w14:paraId="0BCD0D00">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（12）具有探究学习、终身学习和可持续发展能力，具有整合知识和综合运用知识分析问 题和解决问题的能力；</w:t>
      </w:r>
    </w:p>
    <w:p w14:paraId="0A8F0548">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lang w:val="en-US" w:eastAsia="zh-CN"/>
        </w:rPr>
      </w:pPr>
      <w:r>
        <w:rPr>
          <w:rFonts w:ascii="宋体" w:hAnsi="宋体" w:eastAsia="宋体" w:cs="宋体"/>
          <w:sz w:val="24"/>
          <w:szCs w:val="24"/>
        </w:rPr>
        <w:t xml:space="preserve"> （13）掌握身体运动的基本知识和至少1项体育运动技能，达到国家大学生体质健康测试 合格标准，养成良好的运动习惯、卫生习惯和行为习惯；具备一定的心理调适能力； </w:t>
      </w:r>
      <w:r>
        <w:rPr>
          <w:rFonts w:hint="eastAsia" w:ascii="宋体" w:hAnsi="宋体" w:eastAsia="宋体" w:cs="宋体"/>
          <w:sz w:val="24"/>
          <w:szCs w:val="24"/>
          <w:lang w:val="en-US" w:eastAsia="zh-CN"/>
        </w:rPr>
        <w:t xml:space="preserve">   </w:t>
      </w:r>
    </w:p>
    <w:p w14:paraId="606C3EFA">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720" w:firstLineChars="300"/>
        <w:textAlignment w:val="auto"/>
        <w:rPr>
          <w:rFonts w:hint="eastAsia" w:ascii="宋体" w:hAnsi="宋体" w:eastAsia="宋体" w:cs="宋体"/>
          <w:sz w:val="24"/>
          <w:szCs w:val="24"/>
          <w:lang w:val="en-US" w:eastAsia="zh-CN"/>
        </w:rPr>
      </w:pPr>
      <w:r>
        <w:rPr>
          <w:rFonts w:ascii="宋体" w:hAnsi="宋体" w:eastAsia="宋体" w:cs="宋体"/>
          <w:sz w:val="24"/>
          <w:szCs w:val="24"/>
        </w:rPr>
        <w:t>（14）掌握必备的美育知识，具有一定的文化修养、审美能力，形成至少1项艺术特长或爱好；</w:t>
      </w:r>
      <w:r>
        <w:rPr>
          <w:rFonts w:hint="eastAsia" w:ascii="宋体" w:hAnsi="宋体" w:eastAsia="宋体" w:cs="宋体"/>
          <w:sz w:val="24"/>
          <w:szCs w:val="24"/>
          <w:lang w:val="en-US" w:eastAsia="zh-CN"/>
        </w:rPr>
        <w:t xml:space="preserve"> </w:t>
      </w:r>
    </w:p>
    <w:p w14:paraId="426134A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720" w:firstLineChars="300"/>
        <w:textAlignment w:val="auto"/>
      </w:pPr>
      <w:r>
        <w:rPr>
          <w:rFonts w:ascii="宋体" w:hAnsi="宋体" w:eastAsia="宋体" w:cs="宋体"/>
          <w:sz w:val="24"/>
          <w:szCs w:val="24"/>
        </w:rPr>
        <w:t>（15）树立正确的劳动观，尊重劳动，热爱劳动，具备与本专业职业发展相适应的劳动素 养，弘扬劳模精神、劳动精神、工匠精神，弘扬劳动光荣、技能宝贵、创造伟大的时代风尚。</w:t>
      </w:r>
      <w:r>
        <w:rPr>
          <w:rFonts w:hint="eastAsia"/>
          <w:vanish/>
          <w:color w:val="FF0000"/>
        </w:rPr>
        <w:t>（参照教育部标准）</w:t>
      </w:r>
      <w:bookmarkEnd w:id="8"/>
    </w:p>
    <w:p w14:paraId="23AC07B5">
      <w:pPr>
        <w:pStyle w:val="3"/>
        <w:spacing w:line="360" w:lineRule="auto"/>
        <w:ind w:left="423" w:leftChars="0" w:firstLineChars="0"/>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7D8A0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思想道德与法治</w:t>
      </w:r>
      <w:r>
        <w:rPr>
          <w:rFonts w:hint="eastAsia"/>
          <w:color w:val="000000"/>
          <w:sz w:val="24"/>
        </w:rPr>
        <w:t>、</w:t>
      </w:r>
      <w:r>
        <w:rPr>
          <w:rFonts w:hint="eastAsia"/>
          <w:sz w:val="24"/>
        </w:rPr>
        <w:t>毛泽东思想和中国特色社会主义理论体系概论</w:t>
      </w:r>
      <w:r>
        <w:rPr>
          <w:rFonts w:hint="eastAsia"/>
          <w:color w:val="000000"/>
          <w:sz w:val="24"/>
        </w:rPr>
        <w:t>、</w:t>
      </w:r>
      <w:r>
        <w:rPr>
          <w:rFonts w:hint="eastAsia"/>
          <w:sz w:val="24"/>
        </w:rPr>
        <w:t>习近平新时代中国特色社会主义思想概论</w:t>
      </w:r>
      <w:r>
        <w:rPr>
          <w:rFonts w:hint="eastAsia"/>
          <w:color w:val="000000"/>
          <w:sz w:val="24"/>
        </w:rPr>
        <w:t>、</w:t>
      </w:r>
      <w:r>
        <w:rPr>
          <w:rFonts w:hint="eastAsia"/>
          <w:sz w:val="24"/>
        </w:rPr>
        <w:t>国家安全教育</w:t>
      </w:r>
      <w:r>
        <w:rPr>
          <w:rFonts w:hint="eastAsia"/>
          <w:color w:val="000000"/>
          <w:sz w:val="24"/>
        </w:rPr>
        <w:t>、</w:t>
      </w:r>
      <w:r>
        <w:rPr>
          <w:rFonts w:hint="eastAsia"/>
          <w:sz w:val="24"/>
        </w:rPr>
        <w:t>形势与政策</w:t>
      </w:r>
      <w:r>
        <w:rPr>
          <w:rFonts w:hint="eastAsia"/>
          <w:color w:val="000000"/>
          <w:sz w:val="24"/>
        </w:rPr>
        <w:t>、</w:t>
      </w:r>
      <w:r>
        <w:rPr>
          <w:rFonts w:hint="eastAsia"/>
          <w:sz w:val="24"/>
        </w:rPr>
        <w:t>军事理论与军训</w:t>
      </w:r>
      <w:r>
        <w:rPr>
          <w:rFonts w:hint="eastAsia"/>
          <w:color w:val="000000"/>
          <w:sz w:val="24"/>
        </w:rPr>
        <w:t>、</w:t>
      </w:r>
      <w:r>
        <w:rPr>
          <w:rFonts w:hint="eastAsia"/>
          <w:sz w:val="24"/>
        </w:rPr>
        <w:t>职业生涯规划</w:t>
      </w:r>
      <w:r>
        <w:rPr>
          <w:rFonts w:hint="eastAsia"/>
          <w:color w:val="000000"/>
          <w:sz w:val="24"/>
        </w:rPr>
        <w:t>、</w:t>
      </w:r>
      <w:r>
        <w:rPr>
          <w:rFonts w:hint="eastAsia"/>
          <w:sz w:val="24"/>
        </w:rPr>
        <w:t>心理健康教育</w:t>
      </w:r>
      <w:r>
        <w:rPr>
          <w:rFonts w:hint="eastAsia"/>
          <w:color w:val="000000"/>
          <w:sz w:val="24"/>
        </w:rPr>
        <w:t>、</w:t>
      </w:r>
      <w:r>
        <w:rPr>
          <w:rFonts w:hint="eastAsia"/>
          <w:sz w:val="24"/>
        </w:rPr>
        <w:t>就业与创业指导</w:t>
      </w:r>
      <w:r>
        <w:rPr>
          <w:rFonts w:hint="eastAsia"/>
          <w:color w:val="000000"/>
          <w:sz w:val="24"/>
        </w:rPr>
        <w:t>、</w:t>
      </w:r>
      <w:r>
        <w:rPr>
          <w:rFonts w:hint="eastAsia"/>
          <w:sz w:val="24"/>
        </w:rPr>
        <w:t>劳动教育</w:t>
      </w:r>
      <w:r>
        <w:rPr>
          <w:rFonts w:hint="eastAsia"/>
          <w:color w:val="000000"/>
          <w:sz w:val="24"/>
        </w:rPr>
        <w:t>、</w:t>
      </w:r>
      <w:r>
        <w:rPr>
          <w:rFonts w:hint="eastAsia"/>
          <w:sz w:val="24"/>
        </w:rPr>
        <w:t>体育1</w:t>
      </w:r>
      <w:r>
        <w:rPr>
          <w:rFonts w:hint="eastAsia"/>
          <w:color w:val="000000"/>
          <w:sz w:val="24"/>
        </w:rPr>
        <w:t>、</w:t>
      </w:r>
      <w:r>
        <w:rPr>
          <w:rFonts w:hint="eastAsia"/>
          <w:sz w:val="24"/>
        </w:rPr>
        <w:t>体育2</w:t>
      </w:r>
      <w:r>
        <w:rPr>
          <w:rFonts w:hint="eastAsia"/>
          <w:color w:val="000000"/>
          <w:sz w:val="24"/>
        </w:rPr>
        <w:t>、</w:t>
      </w:r>
      <w:r>
        <w:rPr>
          <w:rFonts w:hint="eastAsia"/>
          <w:sz w:val="24"/>
        </w:rPr>
        <w:t>体育3</w:t>
      </w:r>
      <w:r>
        <w:rPr>
          <w:rFonts w:hint="eastAsia"/>
          <w:color w:val="000000"/>
          <w:sz w:val="24"/>
        </w:rPr>
        <w:t>、</w:t>
      </w:r>
      <w:r>
        <w:rPr>
          <w:rFonts w:hint="eastAsia"/>
          <w:sz w:val="24"/>
        </w:rPr>
        <w:t>体育4</w:t>
      </w:r>
      <w:r>
        <w:rPr>
          <w:rFonts w:hint="eastAsia"/>
          <w:color w:val="000000"/>
          <w:sz w:val="24"/>
        </w:rPr>
        <w:t>、</w:t>
      </w:r>
      <w:r>
        <w:rPr>
          <w:rFonts w:hint="eastAsia"/>
          <w:sz w:val="24"/>
        </w:rPr>
        <w:t>大学语文</w:t>
      </w:r>
      <w:r>
        <w:rPr>
          <w:rFonts w:hint="eastAsia"/>
          <w:color w:val="000000"/>
          <w:sz w:val="24"/>
        </w:rPr>
        <w:t>、</w:t>
      </w:r>
      <w:r>
        <w:rPr>
          <w:rFonts w:hint="eastAsia"/>
          <w:sz w:val="24"/>
        </w:rPr>
        <w:t>计算机应用基础</w:t>
      </w:r>
      <w:r>
        <w:rPr>
          <w:rFonts w:hint="eastAsia"/>
          <w:color w:val="000000"/>
          <w:sz w:val="24"/>
        </w:rPr>
        <w:t>、</w:t>
      </w:r>
      <w:r>
        <w:rPr>
          <w:rFonts w:hint="eastAsia"/>
          <w:sz w:val="24"/>
        </w:rPr>
        <w:t>大学英语1</w:t>
      </w:r>
      <w:r>
        <w:rPr>
          <w:rFonts w:hint="eastAsia"/>
          <w:color w:val="000000"/>
          <w:sz w:val="24"/>
        </w:rPr>
        <w:t>、</w:t>
      </w:r>
      <w:r>
        <w:rPr>
          <w:rFonts w:hint="eastAsia"/>
          <w:sz w:val="24"/>
        </w:rPr>
        <w:t>大学英语2</w:t>
      </w:r>
      <w:r>
        <w:rPr>
          <w:rFonts w:hint="eastAsia"/>
          <w:color w:val="000000"/>
          <w:sz w:val="24"/>
        </w:rPr>
        <w:t>、</w:t>
      </w:r>
      <w:r>
        <w:rPr>
          <w:rFonts w:hint="eastAsia"/>
          <w:sz w:val="24"/>
        </w:rPr>
        <w:t>艺术类选修课</w:t>
      </w:r>
      <w:r>
        <w:rPr>
          <w:rFonts w:hint="eastAsia"/>
          <w:color w:val="000000"/>
          <w:sz w:val="24"/>
        </w:rPr>
        <w:t>、</w:t>
      </w:r>
      <w:r>
        <w:rPr>
          <w:rFonts w:hint="eastAsia"/>
          <w:sz w:val="24"/>
        </w:rPr>
        <w:t>人文类选修课</w:t>
      </w:r>
      <w:r>
        <w:rPr>
          <w:rFonts w:hint="eastAsia"/>
          <w:color w:val="000000"/>
          <w:sz w:val="24"/>
        </w:rPr>
        <w:t>、</w:t>
      </w:r>
      <w:r>
        <w:rPr>
          <w:rFonts w:hint="eastAsia"/>
          <w:sz w:val="24"/>
        </w:rPr>
        <w:t>科技素养类选修课</w:t>
      </w:r>
      <w:r>
        <w:rPr>
          <w:rFonts w:hint="eastAsia"/>
          <w:color w:val="000000"/>
          <w:sz w:val="24"/>
        </w:rPr>
        <w:t>、</w:t>
      </w:r>
      <w:r>
        <w:rPr>
          <w:rFonts w:hint="eastAsia"/>
          <w:sz w:val="24"/>
        </w:rPr>
        <w:t>其他通识类选修课</w:t>
      </w:r>
      <w:r>
        <w:rPr>
          <w:rFonts w:hint="eastAsia"/>
          <w:sz w:val="24"/>
          <w:lang w:eastAsia="zh-CN"/>
        </w:rPr>
        <w:t>。</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sz w:val="24"/>
        </w:rPr>
      </w:pPr>
      <w:r>
        <w:rPr>
          <w:rFonts w:hint="eastAsia"/>
          <w:sz w:val="24"/>
        </w:rPr>
        <w:t>设计基础</w:t>
      </w:r>
      <w:r>
        <w:rPr>
          <w:rFonts w:hint="eastAsia"/>
          <w:color w:val="000000"/>
          <w:sz w:val="24"/>
        </w:rPr>
        <w:t>、</w:t>
      </w:r>
      <w:r>
        <w:rPr>
          <w:rFonts w:hint="eastAsia"/>
          <w:sz w:val="24"/>
        </w:rPr>
        <w:t>艺术设计概论</w:t>
      </w:r>
      <w:r>
        <w:rPr>
          <w:rFonts w:hint="eastAsia"/>
          <w:color w:val="000000"/>
          <w:sz w:val="24"/>
        </w:rPr>
        <w:t>、</w:t>
      </w:r>
      <w:r>
        <w:rPr>
          <w:rFonts w:hint="eastAsia"/>
          <w:sz w:val="24"/>
        </w:rPr>
        <w:t>计算机辅助设计PS</w:t>
      </w:r>
      <w:r>
        <w:rPr>
          <w:rFonts w:hint="eastAsia"/>
          <w:color w:val="000000"/>
          <w:sz w:val="24"/>
        </w:rPr>
        <w:t>、</w:t>
      </w:r>
      <w:r>
        <w:rPr>
          <w:rFonts w:hint="eastAsia"/>
          <w:sz w:val="24"/>
        </w:rPr>
        <w:t>计算机辅助设计AI</w:t>
      </w:r>
    </w:p>
    <w:p w14:paraId="79086925">
      <w:pPr>
        <w:snapToGrid w:val="0"/>
        <w:spacing w:line="360" w:lineRule="auto"/>
        <w:ind w:firstLine="480" w:firstLineChars="200"/>
        <w:contextualSpacing/>
        <w:rPr>
          <w:sz w:val="24"/>
        </w:rPr>
      </w:pPr>
      <w:r>
        <w:rPr>
          <w:sz w:val="24"/>
        </w:rPr>
        <w:t>（2）专业核心课程</w:t>
      </w:r>
    </w:p>
    <w:p w14:paraId="4AEEC4DA">
      <w:pPr>
        <w:snapToGrid w:val="0"/>
        <w:spacing w:line="360" w:lineRule="auto"/>
        <w:ind w:firstLine="480" w:firstLineChars="200"/>
        <w:contextualSpacing/>
      </w:pPr>
      <w:r>
        <w:rPr>
          <w:rFonts w:hint="eastAsia" w:ascii="Times New Roman" w:hAnsi="Times New Roman" w:eastAsia="宋体" w:cs="Times New Roman"/>
          <w:sz w:val="24"/>
        </w:rPr>
        <w:t>广告策划与文案</w:t>
      </w:r>
      <w:r>
        <w:rPr>
          <w:rFonts w:hint="eastAsia"/>
          <w:color w:val="000000"/>
          <w:sz w:val="24"/>
        </w:rPr>
        <w:t>、</w:t>
      </w:r>
      <w:r>
        <w:rPr>
          <w:rFonts w:hint="eastAsia" w:ascii="Times New Roman" w:hAnsi="Times New Roman" w:eastAsia="宋体" w:cs="Times New Roman"/>
          <w:sz w:val="24"/>
        </w:rPr>
        <w:t>摄影与摄像</w:t>
      </w:r>
      <w:r>
        <w:rPr>
          <w:rFonts w:hint="eastAsia"/>
          <w:color w:val="000000"/>
          <w:sz w:val="24"/>
        </w:rPr>
        <w:t>、</w:t>
      </w:r>
      <w:r>
        <w:rPr>
          <w:rFonts w:hint="eastAsia" w:ascii="Times New Roman" w:hAnsi="Times New Roman" w:eastAsia="宋体" w:cs="Times New Roman"/>
          <w:sz w:val="24"/>
        </w:rPr>
        <w:t>新媒体广告设计</w:t>
      </w:r>
      <w:r>
        <w:rPr>
          <w:rFonts w:hint="eastAsia"/>
          <w:color w:val="000000"/>
          <w:sz w:val="24"/>
        </w:rPr>
        <w:t>、</w:t>
      </w:r>
      <w:r>
        <w:rPr>
          <w:rFonts w:hint="eastAsia" w:ascii="Times New Roman" w:hAnsi="Times New Roman" w:eastAsia="宋体" w:cs="Times New Roman"/>
          <w:sz w:val="24"/>
        </w:rPr>
        <w:t>界面交互设计</w:t>
      </w:r>
      <w:r>
        <w:rPr>
          <w:rFonts w:hint="eastAsia"/>
          <w:color w:val="000000"/>
          <w:sz w:val="24"/>
        </w:rPr>
        <w:t>、</w:t>
      </w:r>
      <w:r>
        <w:rPr>
          <w:rFonts w:hint="eastAsia" w:ascii="Times New Roman" w:hAnsi="Times New Roman" w:eastAsia="宋体" w:cs="Times New Roman"/>
          <w:sz w:val="24"/>
        </w:rPr>
        <w:t>企业形象设计</w:t>
      </w:r>
      <w:r>
        <w:rPr>
          <w:rFonts w:hint="eastAsia"/>
          <w:color w:val="000000"/>
          <w:sz w:val="24"/>
        </w:rPr>
        <w:t>、</w:t>
      </w:r>
      <w:r>
        <w:rPr>
          <w:rFonts w:hint="eastAsia" w:ascii="Times New Roman" w:hAnsi="Times New Roman" w:eastAsia="宋体" w:cs="Times New Roman"/>
          <w:sz w:val="24"/>
        </w:rPr>
        <w:t>包装设计</w:t>
      </w:r>
      <w:r>
        <w:rPr>
          <w:rFonts w:hint="eastAsia"/>
          <w:color w:val="000000"/>
          <w:sz w:val="24"/>
        </w:rPr>
        <w:t>、</w:t>
      </w:r>
      <w:r>
        <w:rPr>
          <w:rFonts w:hint="eastAsia" w:ascii="Times New Roman" w:hAnsi="Times New Roman" w:eastAsia="宋体" w:cs="Times New Roman"/>
          <w:sz w:val="24"/>
        </w:rPr>
        <w:t>影视剪辑</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05" w:type="pct"/>
        <w:jc w:val="center"/>
        <w:tblLayout w:type="autofit"/>
        <w:tblCellMar>
          <w:top w:w="0" w:type="dxa"/>
          <w:left w:w="0" w:type="dxa"/>
          <w:bottom w:w="0" w:type="dxa"/>
          <w:right w:w="0" w:type="dxa"/>
        </w:tblCellMar>
      </w:tblPr>
      <w:tblGrid>
        <w:gridCol w:w="565"/>
        <w:gridCol w:w="3272"/>
        <w:gridCol w:w="3696"/>
        <w:gridCol w:w="1936"/>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7D2FFE10">
            <w:pPr>
              <w:pStyle w:val="133"/>
              <w:spacing w:line="285"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广告策划与文案</w:t>
            </w:r>
          </w:p>
        </w:tc>
        <w:tc>
          <w:tcPr>
            <w:tcW w:w="1951" w:type="pct"/>
            <w:tcBorders>
              <w:top w:val="single" w:color="000000" w:sz="4" w:space="0"/>
              <w:left w:val="single" w:color="000000" w:sz="4" w:space="0"/>
              <w:bottom w:val="single" w:color="000000" w:sz="4" w:space="0"/>
              <w:right w:val="single" w:color="000000" w:sz="4" w:space="0"/>
            </w:tcBorders>
          </w:tcPr>
          <w:p w14:paraId="3532B4A2">
            <w:pPr>
              <w:pStyle w:val="133"/>
              <w:ind w:left="100" w:right="102"/>
              <w:rPr>
                <w:rFonts w:hint="eastAsia" w:ascii="宋体" w:hAnsi="宋体" w:eastAsia="宋体" w:cs="宋体"/>
                <w:sz w:val="21"/>
                <w:szCs w:val="21"/>
                <w:lang w:eastAsia="zh-CN"/>
              </w:rPr>
            </w:pPr>
            <w:r>
              <w:rPr>
                <w:rFonts w:hint="default" w:ascii="Times New Roman" w:hAnsi="Times New Roman" w:eastAsia="宋体" w:cs="Times New Roman"/>
                <w:kern w:val="2"/>
                <w:sz w:val="18"/>
                <w:szCs w:val="18"/>
                <w:lang w:val="en-US" w:eastAsia="zh-CN" w:bidi="ar-SA"/>
              </w:rPr>
              <w:t>基于市场分析、品牌定位与传播目标，制定广告策略，进行创意发想，撰写广告文案（标题、正文、口号、脚本文案等）。</w:t>
            </w:r>
          </w:p>
        </w:tc>
        <w:tc>
          <w:tcPr>
            <w:tcW w:w="1022" w:type="pct"/>
            <w:tcBorders>
              <w:top w:val="single" w:color="000000" w:sz="4" w:space="0"/>
              <w:left w:val="single" w:color="000000" w:sz="4" w:space="0"/>
              <w:bottom w:val="single" w:color="000000" w:sz="4" w:space="0"/>
              <w:right w:val="single" w:color="000000" w:sz="4" w:space="0"/>
            </w:tcBorders>
          </w:tcPr>
          <w:p w14:paraId="7548786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广告策划流程、市场调研方法、消费者洞察、品牌定位理论；学习创意发想技巧（头脑风暴、思维导图等）；精通不同类型广告（平面、视频、数字）的文案写作规范与技巧；掌握提案沟通能力。要求能独立完成具有策略支撑和创意亮点的广告策划案核心文案部分。</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摄影与摄像</w:t>
            </w:r>
          </w:p>
        </w:tc>
        <w:tc>
          <w:tcPr>
            <w:tcW w:w="1951" w:type="pct"/>
            <w:tcBorders>
              <w:top w:val="single" w:color="000000" w:sz="4" w:space="0"/>
              <w:left w:val="single" w:color="000000" w:sz="4" w:space="0"/>
              <w:bottom w:val="single" w:color="000000" w:sz="4" w:space="0"/>
              <w:right w:val="single" w:color="000000" w:sz="4" w:space="0"/>
            </w:tcBorders>
          </w:tcPr>
          <w:p w14:paraId="32119557">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根据广告创意需求，运用摄影摄像设备与技术，完成高质量的产品静物摄影、场景氛围摄影、人物肖像摄影及广告视频素材拍摄。</w:t>
            </w:r>
          </w:p>
        </w:tc>
        <w:tc>
          <w:tcPr>
            <w:tcW w:w="1022" w:type="pct"/>
            <w:tcBorders>
              <w:top w:val="single" w:color="000000" w:sz="4" w:space="0"/>
              <w:left w:val="single" w:color="000000" w:sz="4" w:space="0"/>
              <w:bottom w:val="single" w:color="000000" w:sz="4" w:space="0"/>
              <w:right w:val="single" w:color="000000" w:sz="4" w:space="0"/>
            </w:tcBorders>
          </w:tcPr>
          <w:p w14:paraId="679AF68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专业摄影摄像设备（单反/摄像机、镜头、灯光、布景道具）操作；精通广告摄影构图、光影控制、色彩管理、质感表现；学习产品摄影技法、场景搭建、模特引导；掌握广告视频素材拍摄基础（构图、运镜、光线）。要求能独立拍摄符合广告创意要求的高品质影像素材。</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新媒体广告设计</w:t>
            </w:r>
          </w:p>
        </w:tc>
        <w:tc>
          <w:tcPr>
            <w:tcW w:w="1951" w:type="pct"/>
            <w:tcBorders>
              <w:top w:val="single" w:color="000000" w:sz="4" w:space="0"/>
              <w:left w:val="single" w:color="000000" w:sz="4" w:space="0"/>
              <w:bottom w:val="single" w:color="000000" w:sz="4" w:space="0"/>
              <w:right w:val="single" w:color="000000" w:sz="4" w:space="0"/>
            </w:tcBorders>
          </w:tcPr>
          <w:p w14:paraId="3B105323">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针对社交媒体（微信、微博、抖音等）、信息流广告、网站Banner、H5页面等数字媒介平台，进行广告视觉设计、动态效果制作与适配。</w:t>
            </w:r>
          </w:p>
        </w:tc>
        <w:tc>
          <w:tcPr>
            <w:tcW w:w="1022" w:type="pct"/>
            <w:tcBorders>
              <w:top w:val="single" w:color="000000" w:sz="4" w:space="0"/>
              <w:left w:val="single" w:color="000000" w:sz="4" w:space="0"/>
              <w:bottom w:val="single" w:color="000000" w:sz="4" w:space="0"/>
              <w:right w:val="single" w:color="000000" w:sz="4" w:space="0"/>
            </w:tcBorders>
          </w:tcPr>
          <w:p w14:paraId="7C522DF1">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掌握主流数字广告平台特性与设计规范（尺寸、格式、交互）；精通图形设计软件（如PS, AI）在广告设计中的应用；学习信息可视化设计、动态广告（GIF/短视频）设计技巧、H5广告页面基础设计；了解用户体验（UX）在广告中的运用。要求能独立完成符合不同数字平台特性的、具有吸引力的广告视觉设计方案。</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界面交互设计</w:t>
            </w:r>
          </w:p>
        </w:tc>
        <w:tc>
          <w:tcPr>
            <w:tcW w:w="1951" w:type="pct"/>
            <w:tcBorders>
              <w:top w:val="single" w:color="000000" w:sz="4" w:space="0"/>
              <w:left w:val="single" w:color="000000" w:sz="4" w:space="0"/>
              <w:bottom w:val="single" w:color="000000" w:sz="4" w:space="0"/>
              <w:right w:val="single" w:color="000000" w:sz="4" w:space="0"/>
            </w:tcBorders>
          </w:tcPr>
          <w:p w14:paraId="186FE9AD">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设计广告相关的互动体验，如品牌小程序界面、广告活动H5互动页面、数字装置交互界面等，提升用户参与度和品牌印象。</w:t>
            </w:r>
          </w:p>
        </w:tc>
        <w:tc>
          <w:tcPr>
            <w:tcW w:w="1022" w:type="pct"/>
            <w:tcBorders>
              <w:top w:val="single" w:color="000000" w:sz="4" w:space="0"/>
              <w:left w:val="single" w:color="000000" w:sz="4" w:space="0"/>
              <w:bottom w:val="single" w:color="000000" w:sz="4" w:space="0"/>
              <w:right w:val="single" w:color="000000" w:sz="4" w:space="0"/>
            </w:tcBorders>
          </w:tcPr>
          <w:p w14:paraId="1864628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掌握用户体验（UX）设计原则、用户行为分析基础；学习信息架构设计、交互流程设计（线框图、流程图）；精通用户界面（UI）设计规范与视觉设计（布局、色彩、图标、动效）；掌握原型设计工具（如Figma, Adobe XD）；了解基础的前端实现概念。要求能完成用户友好、视觉美观、符合品牌调性的广告交互界面设计方案。</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企业形象设计</w:t>
            </w:r>
          </w:p>
        </w:tc>
        <w:tc>
          <w:tcPr>
            <w:tcW w:w="1951" w:type="pct"/>
            <w:tcBorders>
              <w:top w:val="single" w:color="000000" w:sz="4" w:space="0"/>
              <w:left w:val="single" w:color="000000" w:sz="4" w:space="0"/>
              <w:bottom w:val="single" w:color="000000" w:sz="4" w:space="0"/>
              <w:right w:val="single" w:color="000000" w:sz="4" w:space="0"/>
            </w:tcBorders>
          </w:tcPr>
          <w:p w14:paraId="16FD665F">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为企业或品牌设计完整的视觉识别系统（VI），包括标志设计、标准字、标准色、辅助图形及其在办公事务、环境导视、宣传物料等中的应用规范。</w:t>
            </w:r>
          </w:p>
        </w:tc>
        <w:tc>
          <w:tcPr>
            <w:tcW w:w="1022" w:type="pct"/>
            <w:tcBorders>
              <w:top w:val="single" w:color="000000" w:sz="4" w:space="0"/>
              <w:left w:val="single" w:color="000000" w:sz="4" w:space="0"/>
              <w:bottom w:val="single" w:color="000000" w:sz="4" w:space="0"/>
              <w:right w:val="single" w:color="000000" w:sz="4" w:space="0"/>
            </w:tcBorders>
          </w:tcPr>
          <w:p w14:paraId="124D045C">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品牌定位与核心价值提炼；学习标志设计原理与方法、字体设计、色彩系统规划、辅助图形创作；精通VI手册编制规范（基础系统、应用系统）；了解品牌接触点设计。要求能独立完成一套逻辑清晰、视觉统一、可落地执行的品牌VI系统设计方案。</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5"/>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23F97AC7">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包装设计</w:t>
            </w:r>
          </w:p>
        </w:tc>
        <w:tc>
          <w:tcPr>
            <w:tcW w:w="1951" w:type="pct"/>
            <w:tcBorders>
              <w:top w:val="single" w:color="000000" w:sz="4" w:space="0"/>
              <w:left w:val="single" w:color="000000" w:sz="4" w:space="0"/>
              <w:bottom w:val="single" w:color="000000" w:sz="4" w:space="0"/>
              <w:right w:val="single" w:color="000000" w:sz="4" w:space="0"/>
            </w:tcBorders>
          </w:tcPr>
          <w:p w14:paraId="34E7F79D">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进行产品包装的结构设计（造型、材质选择、工艺）与视觉设计（装潢、图案、文字、信息编排），实现保护产品、促进销售、传递品牌价值的功能。</w:t>
            </w:r>
          </w:p>
        </w:tc>
        <w:tc>
          <w:tcPr>
            <w:tcW w:w="1022" w:type="pct"/>
            <w:tcBorders>
              <w:top w:val="single" w:color="000000" w:sz="4" w:space="0"/>
              <w:left w:val="single" w:color="000000" w:sz="4" w:space="0"/>
              <w:bottom w:val="single" w:color="000000" w:sz="4" w:space="0"/>
              <w:right w:val="single" w:color="000000" w:sz="4" w:space="0"/>
            </w:tcBorders>
          </w:tcPr>
          <w:p w14:paraId="42131B4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掌握包装设计流程与规范；学习包装材料特性与印刷工艺；精通包装结构设计基础（盒型、容器造型）；掌握包装视觉设计要素（图形、色彩、文字、版式、信息层级）；了解市场趋势与消费者心理。要求能独立完成兼具功能性、美观性和市场吸引力的包装设计方案（含结构图与效果图）</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5"/>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6D91456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影视剪辑</w:t>
            </w:r>
          </w:p>
        </w:tc>
        <w:tc>
          <w:tcPr>
            <w:tcW w:w="1951" w:type="pct"/>
            <w:tcBorders>
              <w:top w:val="single" w:color="000000" w:sz="4" w:space="0"/>
              <w:left w:val="single" w:color="000000" w:sz="4" w:space="0"/>
              <w:bottom w:val="single" w:color="000000" w:sz="4" w:space="0"/>
              <w:right w:val="single" w:color="000000" w:sz="4" w:space="0"/>
            </w:tcBorders>
          </w:tcPr>
          <w:p w14:paraId="7921557D">
            <w:pPr>
              <w:pStyle w:val="133"/>
              <w:ind w:left="100" w:right="102"/>
              <w:rPr>
                <w:rFonts w:hint="eastAsia"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对广告视频素材（拍摄素材、动画、特效素材）进行剪辑、组接、调色、音效合成、字幕添加，制作成符合传播要求的广告短片（TVC、宣传片、短视频广告等）。</w:t>
            </w:r>
          </w:p>
        </w:tc>
        <w:tc>
          <w:tcPr>
            <w:tcW w:w="1022" w:type="pct"/>
            <w:tcBorders>
              <w:top w:val="single" w:color="000000" w:sz="4" w:space="0"/>
              <w:left w:val="single" w:color="000000" w:sz="4" w:space="0"/>
              <w:bottom w:val="single" w:color="000000" w:sz="4" w:space="0"/>
              <w:right w:val="single" w:color="000000" w:sz="4" w:space="0"/>
            </w:tcBorders>
          </w:tcPr>
          <w:p w14:paraId="0ED99606">
            <w:pPr>
              <w:pStyle w:val="133"/>
              <w:keepNext w:val="0"/>
              <w:keepLines w:val="0"/>
              <w:pageBreakBefore w:val="0"/>
              <w:widowControl w:val="0"/>
              <w:kinsoku/>
              <w:wordWrap/>
              <w:overflowPunct/>
              <w:topLinePunct w:val="0"/>
              <w:autoSpaceDE/>
              <w:autoSpaceDN/>
              <w:bidi w:val="0"/>
              <w:adjustRightInd/>
              <w:snapToGrid/>
              <w:ind w:left="102" w:leftChars="0" w:right="102" w:rightChars="0" w:firstLine="360" w:firstLineChars="200"/>
              <w:textAlignment w:val="auto"/>
              <w:rPr>
                <w:rFonts w:hint="eastAsia" w:ascii="宋体" w:hAnsi="宋体" w:eastAsia="宋体" w:cs="宋体"/>
                <w:i w:val="0"/>
                <w:iCs w:val="0"/>
                <w:caps w:val="0"/>
                <w:spacing w:val="0"/>
                <w:sz w:val="18"/>
                <w:szCs w:val="18"/>
                <w:shd w:val="clear" w:fill="FFFFFF"/>
                <w:lang w:eastAsia="zh-CN"/>
              </w:rPr>
            </w:pPr>
            <w:r>
              <w:rPr>
                <w:rFonts w:hint="eastAsia" w:ascii="宋体" w:hAnsi="宋体" w:eastAsia="宋体" w:cs="宋体"/>
                <w:i w:val="0"/>
                <w:iCs w:val="0"/>
                <w:caps w:val="0"/>
                <w:spacing w:val="0"/>
                <w:sz w:val="18"/>
                <w:szCs w:val="18"/>
                <w:shd w:val="clear" w:fill="FFFFFF"/>
              </w:rPr>
              <w:t>熟练掌握专业剪辑软件（如Premiere Pro, Final Cut Pro）；掌握广告剪辑节奏、叙事逻辑、情绪渲染；学习素材管理、时间线编辑、多机位剪辑、色彩校正与风格化调色、音效设计与音画同步、字幕制作；了解广告成片输出标准。要求能独立完成叙事流畅、节奏紧凑、视听效果符合创意要求的广告视频成片。</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sz w:val="24"/>
        </w:rPr>
      </w:pPr>
      <w:r>
        <w:rPr>
          <w:rFonts w:hint="eastAsia"/>
          <w:sz w:val="24"/>
        </w:rPr>
        <w:t>装饰图案</w:t>
      </w:r>
      <w:r>
        <w:rPr>
          <w:rFonts w:hint="eastAsia"/>
          <w:color w:val="000000"/>
          <w:sz w:val="24"/>
        </w:rPr>
        <w:t>、</w:t>
      </w:r>
      <w:r>
        <w:rPr>
          <w:rFonts w:hint="eastAsia"/>
          <w:sz w:val="24"/>
        </w:rPr>
        <w:t>版式设计</w:t>
      </w:r>
      <w:r>
        <w:rPr>
          <w:rFonts w:hint="eastAsia"/>
          <w:color w:val="000000"/>
          <w:sz w:val="24"/>
        </w:rPr>
        <w:t>、</w:t>
      </w:r>
      <w:r>
        <w:rPr>
          <w:rFonts w:hint="eastAsia"/>
          <w:sz w:val="24"/>
        </w:rPr>
        <w:t>AIGC基础与应用</w:t>
      </w:r>
      <w:r>
        <w:rPr>
          <w:rFonts w:hint="eastAsia"/>
          <w:color w:val="000000"/>
          <w:sz w:val="24"/>
        </w:rPr>
        <w:t>、</w:t>
      </w:r>
      <w:r>
        <w:rPr>
          <w:rFonts w:hint="eastAsia"/>
          <w:sz w:val="24"/>
        </w:rPr>
        <w:t>新媒体运营</w:t>
      </w:r>
      <w:r>
        <w:rPr>
          <w:rFonts w:hint="eastAsia"/>
          <w:color w:val="000000"/>
          <w:sz w:val="24"/>
        </w:rPr>
        <w:t>、</w:t>
      </w:r>
      <w:r>
        <w:rPr>
          <w:rFonts w:hint="eastAsia"/>
          <w:sz w:val="24"/>
        </w:rPr>
        <w:t>数字出版物设计</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39C71ABD">
      <w:pPr>
        <w:numPr>
          <w:ilvl w:val="0"/>
          <w:numId w:val="6"/>
        </w:numPr>
        <w:snapToGrid w:val="0"/>
        <w:spacing w:line="360" w:lineRule="auto"/>
        <w:ind w:firstLine="480" w:firstLineChars="200"/>
        <w:contextualSpacing/>
        <w:rPr>
          <w:rFonts w:hint="eastAsia" w:ascii="Times New Roman" w:hAnsi="Times New Roman" w:eastAsia="宋体" w:cs="Times New Roman"/>
          <w:sz w:val="24"/>
        </w:rPr>
      </w:pPr>
      <w:r>
        <w:rPr>
          <w:rFonts w:hint="eastAsia" w:ascii="Times New Roman" w:hAnsi="Times New Roman" w:eastAsia="宋体" w:cs="Times New Roman"/>
          <w:sz w:val="24"/>
        </w:rPr>
        <w:t>实训</w:t>
      </w:r>
    </w:p>
    <w:p w14:paraId="2941DDFF">
      <w:pPr>
        <w:numPr>
          <w:ilvl w:val="0"/>
          <w:numId w:val="0"/>
        </w:numPr>
        <w:snapToGrid w:val="0"/>
        <w:spacing w:line="360" w:lineRule="auto"/>
        <w:ind w:firstLine="480" w:firstLineChars="200"/>
        <w:contextualSpacing/>
        <w:rPr>
          <w:rFonts w:hint="eastAsia" w:ascii="Times New Roman" w:hAnsi="Times New Roman" w:eastAsia="宋体" w:cs="Times New Roman"/>
          <w:sz w:val="24"/>
        </w:rPr>
      </w:pPr>
      <w:r>
        <w:rPr>
          <w:rFonts w:hint="eastAsia" w:ascii="Times New Roman" w:hAnsi="Times New Roman" w:eastAsia="宋体" w:cs="Times New Roman"/>
          <w:sz w:val="24"/>
        </w:rPr>
        <w:t>在校内外进行品牌识别系统设计与制作、平面广告设计与制作、包装设计与制作、广告 策划与文案创意、数字广告设计与制作、视频广告设计与制作、电商设计与制作、数字出版 物设计与制作等实训，包括单项技能实训、综合能力实训、生产性实训等。</w:t>
      </w:r>
    </w:p>
    <w:p w14:paraId="2EC1DD7A">
      <w:pPr>
        <w:numPr>
          <w:ilvl w:val="0"/>
          <w:numId w:val="6"/>
        </w:numPr>
        <w:snapToGrid w:val="0"/>
        <w:spacing w:line="360" w:lineRule="auto"/>
        <w:ind w:left="0" w:leftChars="0" w:firstLine="480" w:firstLineChars="200"/>
        <w:contextualSpacing/>
        <w:rPr>
          <w:rFonts w:hint="eastAsia" w:ascii="Times New Roman" w:hAnsi="Times New Roman" w:eastAsia="宋体" w:cs="Times New Roman"/>
          <w:sz w:val="24"/>
        </w:rPr>
      </w:pPr>
      <w:r>
        <w:rPr>
          <w:rFonts w:hint="eastAsia" w:ascii="Times New Roman" w:hAnsi="Times New Roman" w:eastAsia="宋体" w:cs="Times New Roman"/>
          <w:sz w:val="24"/>
        </w:rPr>
        <w:t xml:space="preserve">实习 </w:t>
      </w:r>
    </w:p>
    <w:p w14:paraId="348C8A64">
      <w:pPr>
        <w:numPr>
          <w:ilvl w:val="0"/>
          <w:numId w:val="0"/>
        </w:numPr>
        <w:snapToGrid w:val="0"/>
        <w:spacing w:line="360" w:lineRule="auto"/>
        <w:ind w:firstLine="480" w:firstLineChars="200"/>
        <w:contextualSpacing/>
        <w:rPr>
          <w:rFonts w:hint="eastAsia" w:ascii="Times New Roman" w:hAnsi="Times New Roman" w:eastAsia="宋体" w:cs="Times New Roman"/>
          <w:sz w:val="24"/>
        </w:rPr>
      </w:pPr>
      <w:r>
        <w:rPr>
          <w:rFonts w:hint="eastAsia" w:ascii="Times New Roman" w:hAnsi="Times New Roman" w:eastAsia="宋体" w:cs="Times New Roman"/>
          <w:sz w:val="24"/>
        </w:rPr>
        <w:t>在广告行业、服务类行业的相关设计企业进行广告艺术设计等实习，包括认识实习和岗位实习。学校应建立稳定、够用的实习基地，选派专门的实习指导教师和人员，组织开展专业对口实习，加强对学生实习的指导、管理和考核。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74F7B76E">
      <w:pPr>
        <w:numPr>
          <w:ilvl w:val="0"/>
          <w:numId w:val="4"/>
        </w:numPr>
        <w:snapToGrid w:val="0"/>
        <w:spacing w:line="360" w:lineRule="auto"/>
        <w:ind w:left="0" w:leftChars="0" w:firstLine="480" w:firstLineChars="200"/>
        <w:contextualSpacing/>
        <w:rPr>
          <w:rFonts w:hint="eastAsia" w:ascii="Times New Roman" w:hAnsi="Times New Roman" w:eastAsia="宋体" w:cs="Times New Roman"/>
          <w:sz w:val="24"/>
        </w:rPr>
      </w:pPr>
      <w:r>
        <w:rPr>
          <w:rFonts w:hint="eastAsia" w:ascii="Times New Roman" w:hAnsi="Times New Roman" w:eastAsia="宋体" w:cs="Times New Roman"/>
          <w:sz w:val="24"/>
        </w:rPr>
        <w:t xml:space="preserve">相关要求 </w:t>
      </w:r>
    </w:p>
    <w:p w14:paraId="23D6E8B3">
      <w:pPr>
        <w:numPr>
          <w:ilvl w:val="0"/>
          <w:numId w:val="0"/>
        </w:numPr>
        <w:snapToGrid w:val="0"/>
        <w:spacing w:line="360" w:lineRule="auto"/>
        <w:ind w:firstLine="480" w:firstLineChars="200"/>
        <w:contextualSpacing/>
        <w:rPr>
          <w:rFonts w:hint="eastAsia" w:ascii="Times New Roman" w:hAnsi="Times New Roman" w:eastAsia="宋体" w:cs="Times New Roman"/>
          <w:sz w:val="24"/>
        </w:rPr>
      </w:pPr>
      <w:r>
        <w:rPr>
          <w:rFonts w:hint="eastAsia" w:ascii="Times New Roman" w:hAnsi="Times New Roman" w:eastAsia="宋体" w:cs="Times New Roman"/>
          <w:sz w:val="24"/>
        </w:rPr>
        <w:t>学校应充分发挥思政课程和各类课程的育人功能。发挥思政课程政治引领和价值引领作 用，在思政课程中有机融入党史、新中国史、改革开放史、社会主义发展史等相关内容；结 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ind w:left="423" w:leftChars="0" w:firstLineChars="0"/>
      </w:pPr>
      <w:bookmarkStart w:id="13" w:name="_Toc197702698"/>
      <w:r>
        <w:t>学时安排</w:t>
      </w:r>
      <w:bookmarkEnd w:id="13"/>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ind w:left="423" w:leftChars="0" w:firstLineChars="0"/>
      </w:pPr>
      <w:bookmarkStart w:id="14" w:name="_Toc197702699"/>
      <w:r>
        <w:t>教学活动时间分配表</w:t>
      </w:r>
      <w:bookmarkEnd w:id="14"/>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ind w:left="423" w:leftChars="0" w:firstLineChars="0"/>
      </w:pPr>
      <w:bookmarkStart w:id="15" w:name="_Toc197702700"/>
      <w:r>
        <w:t>学时分配比例表</w:t>
      </w:r>
      <w:bookmarkEnd w:id="1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688</w:t>
            </w:r>
          </w:p>
        </w:tc>
        <w:tc>
          <w:tcPr>
            <w:tcW w:w="890" w:type="pct"/>
            <w:shd w:val="clear" w:color="auto" w:fill="auto"/>
            <w:noWrap/>
            <w:vAlign w:val="center"/>
          </w:tcPr>
          <w:p w14:paraId="43912A7B">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374</w:t>
            </w:r>
          </w:p>
        </w:tc>
        <w:tc>
          <w:tcPr>
            <w:tcW w:w="890" w:type="pct"/>
            <w:shd w:val="clear" w:color="auto" w:fill="auto"/>
            <w:noWrap/>
            <w:vAlign w:val="center"/>
          </w:tcPr>
          <w:p w14:paraId="3317911E">
            <w:pPr>
              <w:widowControl/>
              <w:snapToGrid w:val="0"/>
              <w:spacing w:line="220" w:lineRule="exact"/>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314</w:t>
            </w:r>
          </w:p>
        </w:tc>
        <w:tc>
          <w:tcPr>
            <w:tcW w:w="889" w:type="pct"/>
            <w:shd w:val="clear" w:color="auto" w:fill="auto"/>
            <w:noWrap/>
            <w:vAlign w:val="center"/>
          </w:tcPr>
          <w:p w14:paraId="2A26FCF9">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45%</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288</w:t>
            </w:r>
          </w:p>
        </w:tc>
        <w:tc>
          <w:tcPr>
            <w:tcW w:w="890"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136</w:t>
            </w:r>
          </w:p>
        </w:tc>
        <w:tc>
          <w:tcPr>
            <w:tcW w:w="890"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152</w:t>
            </w:r>
          </w:p>
        </w:tc>
        <w:tc>
          <w:tcPr>
            <w:tcW w:w="889"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52%</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448</w:t>
            </w:r>
          </w:p>
        </w:tc>
        <w:tc>
          <w:tcPr>
            <w:tcW w:w="890"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150</w:t>
            </w:r>
          </w:p>
        </w:tc>
        <w:tc>
          <w:tcPr>
            <w:tcW w:w="890"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298</w:t>
            </w:r>
          </w:p>
        </w:tc>
        <w:tc>
          <w:tcPr>
            <w:tcW w:w="889"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66%</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128</w:t>
            </w:r>
          </w:p>
        </w:tc>
        <w:tc>
          <w:tcPr>
            <w:tcW w:w="890" w:type="pct"/>
            <w:shd w:val="clear" w:color="auto" w:fill="auto"/>
            <w:noWrap/>
            <w:vAlign w:val="center"/>
          </w:tcPr>
          <w:p w14:paraId="64F79A95">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80</w:t>
            </w:r>
          </w:p>
        </w:tc>
        <w:tc>
          <w:tcPr>
            <w:tcW w:w="890" w:type="pct"/>
            <w:shd w:val="clear" w:color="auto" w:fill="auto"/>
            <w:noWrap/>
            <w:vAlign w:val="center"/>
          </w:tcPr>
          <w:p w14:paraId="09F2345A">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rFonts w:ascii="Times New Roman" w:hAnsi="Times New Roman" w:eastAsia="宋体" w:cs="Times New Roman"/>
                <w:b/>
                <w:kern w:val="2"/>
                <w:sz w:val="24"/>
                <w:szCs w:val="28"/>
                <w:lang w:val="en-US" w:eastAsia="zh-CN" w:bidi="ar-SA"/>
              </w:rPr>
            </w:pPr>
            <w:r>
              <w:rPr>
                <w:rFonts w:hint="eastAsia"/>
                <w:b/>
                <w:sz w:val="24"/>
                <w:szCs w:val="28"/>
                <w:lang w:val="en-US" w:eastAsia="zh-CN"/>
              </w:rPr>
              <w:t>37%</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0"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64</w:t>
            </w:r>
          </w:p>
        </w:tc>
        <w:tc>
          <w:tcPr>
            <w:tcW w:w="890"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96</w:t>
            </w:r>
          </w:p>
        </w:tc>
        <w:tc>
          <w:tcPr>
            <w:tcW w:w="889"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60%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p>
        </w:tc>
        <w:tc>
          <w:tcPr>
            <w:tcW w:w="890"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2</w:t>
            </w:r>
          </w:p>
        </w:tc>
        <w:tc>
          <w:tcPr>
            <w:tcW w:w="890"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910</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99%</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2624</w:t>
            </w:r>
          </w:p>
        </w:tc>
        <w:tc>
          <w:tcPr>
            <w:tcW w:w="890"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806</w:t>
            </w:r>
          </w:p>
        </w:tc>
        <w:tc>
          <w:tcPr>
            <w:tcW w:w="890"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1818</w:t>
            </w:r>
          </w:p>
        </w:tc>
        <w:tc>
          <w:tcPr>
            <w:tcW w:w="889"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69%</w:t>
            </w:r>
            <w:r>
              <w:rPr>
                <w:rFonts w:hint="eastAsia" w:ascii="宋体" w:hAnsi="宋体"/>
                <w:vanish/>
                <w:color w:val="FF0000"/>
                <w:sz w:val="24"/>
                <w:szCs w:val="22"/>
                <w:lang w:val="en-US" w:eastAsia="zh-CN"/>
              </w:rPr>
              <w:t>6969%</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13313439">
      <w:pPr>
        <w:pStyle w:val="3"/>
        <w:spacing w:line="360" w:lineRule="auto"/>
        <w:ind w:left="423" w:leftChars="0" w:firstLineChars="0"/>
        <w:rPr>
          <w:sz w:val="24"/>
          <w:szCs w:val="22"/>
        </w:rPr>
      </w:pPr>
      <w:bookmarkStart w:id="16" w:name="_Toc197702701"/>
      <w:r>
        <w:t>教学计划进程表</w:t>
      </w:r>
      <w:bookmarkStart w:id="17" w:name="_Toc422736381"/>
    </w:p>
    <w:p w14:paraId="5C4A4853">
      <w:pPr>
        <w:pStyle w:val="3"/>
        <w:numPr>
          <w:ilvl w:val="0"/>
          <w:numId w:val="0"/>
        </w:numPr>
        <w:spacing w:line="360" w:lineRule="auto"/>
        <w:ind w:left="2" w:leftChars="0"/>
        <w:rPr>
          <w:sz w:val="24"/>
          <w:szCs w:val="22"/>
        </w:rPr>
      </w:pPr>
      <w:r>
        <w:drawing>
          <wp:inline distT="0" distB="0" distL="114300" distR="114300">
            <wp:extent cx="5992495" cy="8561070"/>
            <wp:effectExtent l="0" t="0" r="190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992495" cy="8561070"/>
                    </a:xfrm>
                    <a:prstGeom prst="rect">
                      <a:avLst/>
                    </a:prstGeom>
                    <a:noFill/>
                    <a:ln>
                      <a:noFill/>
                    </a:ln>
                  </pic:spPr>
                </pic:pic>
              </a:graphicData>
            </a:graphic>
          </wp:inline>
        </w:drawing>
      </w:r>
      <w:r>
        <w:rPr>
          <w:rFonts w:hint="eastAsia"/>
          <w:vanish/>
          <w:color w:val="FF0000"/>
          <w:sz w:val="24"/>
          <w:szCs w:val="22"/>
        </w:rPr>
        <w:t>在excel表中计算后复制粘贴进来）</w:t>
      </w:r>
      <w:bookmarkEnd w:id="16"/>
    </w:p>
    <w:bookmarkEnd w:id="3"/>
    <w:bookmarkEnd w:id="17"/>
    <w:p w14:paraId="39A7FEDA">
      <w:pPr>
        <w:pStyle w:val="3"/>
        <w:spacing w:line="360" w:lineRule="auto"/>
        <w:ind w:left="423" w:leftChars="0" w:firstLineChars="0"/>
      </w:pPr>
      <w:bookmarkStart w:id="18" w:name="_Toc197702702"/>
      <w:bookmarkStart w:id="19" w:name="OLE_LINK2"/>
      <w:bookmarkStart w:id="20" w:name="OLE_LINK3"/>
      <w:r>
        <w:t>实施保障</w:t>
      </w:r>
      <w:bookmarkEnd w:id="18"/>
    </w:p>
    <w:p w14:paraId="084C3AC2">
      <w:pPr>
        <w:pStyle w:val="4"/>
        <w:spacing w:line="360" w:lineRule="auto"/>
        <w:rPr>
          <w:rFonts w:hint="eastAsia"/>
          <w:w w:val="99"/>
        </w:rPr>
      </w:pPr>
      <w:bookmarkStart w:id="21" w:name="_bookmark14"/>
      <w:bookmarkEnd w:id="21"/>
      <w:bookmarkStart w:id="22" w:name="_Toc197702703"/>
      <w:r>
        <w:t>（一）师资队伍</w:t>
      </w:r>
      <w:bookmarkEnd w:id="22"/>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ascii="Times New Roman" w:hAnsi="Times New Roman" w:eastAsia="宋体" w:cs="Times New Roman"/>
          <w:sz w:val="24"/>
          <w:szCs w:val="32"/>
        </w:rPr>
        <w:t>广告艺术设计</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3" w:name="_bookmark15"/>
      <w:bookmarkEnd w:id="23"/>
      <w:bookmarkStart w:id="24" w:name="_Toc197702704"/>
      <w:r>
        <w:t>（二）教学设施</w:t>
      </w:r>
      <w:bookmarkEnd w:id="24"/>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4BE85E1">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仿宋"/>
          <w:sz w:val="24"/>
        </w:rPr>
      </w:pPr>
      <w:r>
        <w:rPr>
          <w:rFonts w:hint="eastAsia" w:ascii="宋体" w:hAnsi="宋体" w:cs="仿宋"/>
          <w:sz w:val="24"/>
        </w:rPr>
        <w:t>校内实训基地围绕广告艺术设计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32"/>
        <w:tblW w:w="0" w:type="auto"/>
        <w:jc w:val="center"/>
        <w:tblLayout w:type="autofit"/>
        <w:tblCellMar>
          <w:top w:w="0" w:type="dxa"/>
          <w:left w:w="0" w:type="dxa"/>
          <w:bottom w:w="0" w:type="dxa"/>
          <w:right w:w="0" w:type="dxa"/>
        </w:tblCellMar>
      </w:tblPr>
      <w:tblGrid>
        <w:gridCol w:w="251"/>
        <w:gridCol w:w="1173"/>
        <w:gridCol w:w="3614"/>
        <w:gridCol w:w="4422"/>
      </w:tblGrid>
      <w:tr w14:paraId="506477D8">
        <w:tblPrEx>
          <w:tblCellMar>
            <w:top w:w="0" w:type="dxa"/>
            <w:left w:w="0" w:type="dxa"/>
            <w:bottom w:w="0" w:type="dxa"/>
            <w:right w:w="0" w:type="dxa"/>
          </w:tblCellMar>
        </w:tblPrEx>
        <w:trPr>
          <w:trHeight w:val="397" w:hRule="exac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6CDB02E9">
            <w:pPr>
              <w:snapToGrid w:val="0"/>
              <w:spacing w:line="360" w:lineRule="auto"/>
              <w:jc w:val="center"/>
              <w:rPr>
                <w:b/>
                <w:sz w:val="24"/>
                <w:szCs w:val="28"/>
                <w:lang w:eastAsia="en-US"/>
              </w:rPr>
            </w:pPr>
            <w:r>
              <w:rPr>
                <w:b/>
                <w:sz w:val="24"/>
                <w:szCs w:val="28"/>
                <w:lang w:eastAsia="en-US"/>
              </w:rPr>
              <w:t xml:space="preserve">序 </w:t>
            </w:r>
          </w:p>
        </w:tc>
        <w:tc>
          <w:tcPr>
            <w:tcW w:w="0" w:type="auto"/>
            <w:tcBorders>
              <w:top w:val="single" w:color="auto" w:sz="4" w:space="0"/>
              <w:left w:val="single" w:color="auto" w:sz="4" w:space="0"/>
              <w:bottom w:val="single" w:color="auto" w:sz="4" w:space="0"/>
              <w:right w:val="single" w:color="auto" w:sz="4" w:space="0"/>
            </w:tcBorders>
            <w:vAlign w:val="center"/>
          </w:tcPr>
          <w:p w14:paraId="3C11C8BA">
            <w:pPr>
              <w:snapToGrid w:val="0"/>
              <w:spacing w:line="360" w:lineRule="auto"/>
              <w:jc w:val="center"/>
              <w:rPr>
                <w:b/>
                <w:sz w:val="24"/>
                <w:szCs w:val="28"/>
                <w:lang w:eastAsia="en-US"/>
              </w:rPr>
            </w:pPr>
            <w:r>
              <w:rPr>
                <w:b/>
                <w:sz w:val="24"/>
                <w:szCs w:val="28"/>
                <w:lang w:eastAsia="en-US"/>
              </w:rPr>
              <w:t>实训场所名称</w:t>
            </w:r>
          </w:p>
        </w:tc>
        <w:tc>
          <w:tcPr>
            <w:tcW w:w="0" w:type="auto"/>
            <w:tcBorders>
              <w:top w:val="single" w:color="000000" w:sz="4" w:space="0"/>
              <w:left w:val="single" w:color="auto" w:sz="4" w:space="0"/>
              <w:bottom w:val="single" w:color="000000" w:sz="4" w:space="0"/>
              <w:right w:val="single" w:color="000000" w:sz="4" w:space="0"/>
            </w:tcBorders>
            <w:vAlign w:val="center"/>
          </w:tcPr>
          <w:p w14:paraId="6D75EC6E">
            <w:pPr>
              <w:snapToGrid w:val="0"/>
              <w:spacing w:line="360" w:lineRule="auto"/>
              <w:jc w:val="center"/>
              <w:rPr>
                <w:b/>
                <w:sz w:val="24"/>
                <w:szCs w:val="28"/>
                <w:lang w:eastAsia="en-US"/>
              </w:rPr>
            </w:pPr>
            <w:r>
              <w:rPr>
                <w:rFonts w:hint="eastAsia"/>
                <w:b/>
                <w:sz w:val="24"/>
                <w:szCs w:val="28"/>
                <w:lang w:eastAsia="en-US"/>
              </w:rPr>
              <w:t>主要实训项目</w:t>
            </w:r>
          </w:p>
        </w:tc>
        <w:tc>
          <w:tcPr>
            <w:tcW w:w="0" w:type="auto"/>
            <w:tcBorders>
              <w:top w:val="single" w:color="000000" w:sz="4" w:space="0"/>
              <w:left w:val="single" w:color="000000" w:sz="4" w:space="0"/>
              <w:bottom w:val="single" w:color="000000" w:sz="4" w:space="0"/>
              <w:right w:val="single" w:color="000000" w:sz="4" w:space="0"/>
            </w:tcBorders>
            <w:vAlign w:val="center"/>
          </w:tcPr>
          <w:p w14:paraId="097FD961">
            <w:pPr>
              <w:snapToGrid w:val="0"/>
              <w:spacing w:line="360" w:lineRule="auto"/>
              <w:jc w:val="center"/>
              <w:rPr>
                <w:b/>
                <w:sz w:val="24"/>
                <w:szCs w:val="28"/>
                <w:lang w:eastAsia="en-US"/>
              </w:rPr>
            </w:pPr>
            <w:r>
              <w:rPr>
                <w:rFonts w:hint="eastAsia"/>
                <w:b/>
                <w:sz w:val="24"/>
                <w:szCs w:val="28"/>
                <w:lang w:eastAsia="en-US"/>
              </w:rPr>
              <w:t>对应课程</w:t>
            </w:r>
          </w:p>
        </w:tc>
      </w:tr>
      <w:tr w14:paraId="5ED9906C">
        <w:tblPrEx>
          <w:tblCellMar>
            <w:top w:w="0" w:type="dxa"/>
            <w:left w:w="0" w:type="dxa"/>
            <w:bottom w:w="0" w:type="dxa"/>
            <w:right w:w="0" w:type="dxa"/>
          </w:tblCellMar>
        </w:tblPrEx>
        <w:trPr>
          <w:trHeight w:val="857" w:hRule="exact"/>
          <w:jc w:val="center"/>
        </w:trPr>
        <w:tc>
          <w:tcPr>
            <w:tcW w:w="0" w:type="auto"/>
            <w:tcBorders>
              <w:top w:val="single" w:color="auto" w:sz="4" w:space="0"/>
              <w:left w:val="single" w:color="000000" w:sz="4" w:space="0"/>
              <w:bottom w:val="single" w:color="000000" w:sz="4" w:space="0"/>
              <w:right w:val="single" w:color="000000" w:sz="4" w:space="0"/>
            </w:tcBorders>
            <w:vAlign w:val="center"/>
          </w:tcPr>
          <w:p w14:paraId="71C399FF">
            <w:pPr>
              <w:jc w:val="center"/>
              <w:rPr>
                <w:sz w:val="24"/>
                <w:szCs w:val="28"/>
                <w:lang w:eastAsia="en-US"/>
              </w:rPr>
            </w:pPr>
            <w:r>
              <w:rPr>
                <w:rFonts w:hint="eastAsia"/>
                <w:sz w:val="24"/>
                <w:szCs w:val="28"/>
                <w:lang w:eastAsia="en-US"/>
              </w:rPr>
              <w:t>1</w:t>
            </w:r>
          </w:p>
        </w:tc>
        <w:tc>
          <w:tcPr>
            <w:tcW w:w="0" w:type="auto"/>
            <w:tcBorders>
              <w:top w:val="single" w:color="auto" w:sz="4" w:space="0"/>
              <w:left w:val="single" w:color="000000" w:sz="4" w:space="0"/>
              <w:bottom w:val="single" w:color="000000" w:sz="4" w:space="0"/>
              <w:right w:val="single" w:color="000000" w:sz="4" w:space="0"/>
            </w:tcBorders>
          </w:tcPr>
          <w:p w14:paraId="4C984145">
            <w:pPr>
              <w:jc w:val="center"/>
              <w:rPr>
                <w:sz w:val="24"/>
                <w:szCs w:val="28"/>
                <w:lang w:eastAsia="en-US"/>
              </w:rPr>
            </w:pPr>
            <w:r>
              <w:rPr>
                <w:rFonts w:hint="eastAsia"/>
                <w:sz w:val="24"/>
                <w:szCs w:val="28"/>
                <w:lang w:eastAsia="en-US"/>
              </w:rPr>
              <w:t>设计制作室</w:t>
            </w:r>
          </w:p>
        </w:tc>
        <w:tc>
          <w:tcPr>
            <w:tcW w:w="0" w:type="auto"/>
            <w:tcBorders>
              <w:top w:val="single" w:color="000000" w:sz="4" w:space="0"/>
              <w:left w:val="single" w:color="000000" w:sz="4" w:space="0"/>
              <w:bottom w:val="single" w:color="000000" w:sz="4" w:space="0"/>
              <w:right w:val="single" w:color="000000" w:sz="4" w:space="0"/>
            </w:tcBorders>
            <w:vAlign w:val="center"/>
          </w:tcPr>
          <w:p w14:paraId="126166FE">
            <w:pPr>
              <w:jc w:val="center"/>
              <w:rPr>
                <w:sz w:val="24"/>
                <w:szCs w:val="28"/>
                <w:lang w:eastAsia="en-US"/>
              </w:rPr>
            </w:pPr>
            <w:r>
              <w:rPr>
                <w:rFonts w:hint="eastAsia"/>
                <w:sz w:val="24"/>
                <w:szCs w:val="28"/>
                <w:lang w:eastAsia="en-US"/>
              </w:rPr>
              <w:t>艺术绘画、手工制作</w:t>
            </w:r>
          </w:p>
        </w:tc>
        <w:tc>
          <w:tcPr>
            <w:tcW w:w="0" w:type="auto"/>
            <w:tcBorders>
              <w:top w:val="single" w:color="000000" w:sz="4" w:space="0"/>
              <w:left w:val="single" w:color="000000" w:sz="4" w:space="0"/>
              <w:bottom w:val="single" w:color="000000" w:sz="4" w:space="0"/>
              <w:right w:val="single" w:color="000000" w:sz="4" w:space="0"/>
            </w:tcBorders>
            <w:vAlign w:val="center"/>
          </w:tcPr>
          <w:p w14:paraId="5C2FCE4F">
            <w:pPr>
              <w:jc w:val="center"/>
              <w:rPr>
                <w:sz w:val="24"/>
                <w:szCs w:val="28"/>
                <w:lang w:eastAsia="en-US"/>
              </w:rPr>
            </w:pPr>
            <w:r>
              <w:rPr>
                <w:rFonts w:hint="eastAsia"/>
                <w:sz w:val="24"/>
                <w:szCs w:val="28"/>
                <w:lang w:eastAsia="en-US"/>
              </w:rPr>
              <w:t>设计基础、装饰图案</w:t>
            </w:r>
          </w:p>
        </w:tc>
      </w:tr>
      <w:tr w14:paraId="33629346">
        <w:tblPrEx>
          <w:tblCellMar>
            <w:top w:w="0" w:type="dxa"/>
            <w:left w:w="0" w:type="dxa"/>
            <w:bottom w:w="0" w:type="dxa"/>
            <w:right w:w="0" w:type="dxa"/>
          </w:tblCellMar>
        </w:tblPrEx>
        <w:trPr>
          <w:trHeight w:val="857"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F6CF742">
            <w:pPr>
              <w:jc w:val="center"/>
              <w:rPr>
                <w:sz w:val="24"/>
                <w:szCs w:val="28"/>
                <w:lang w:eastAsia="en-US"/>
              </w:rPr>
            </w:pPr>
            <w:r>
              <w:rPr>
                <w:rFonts w:hint="eastAsia"/>
                <w:sz w:val="24"/>
                <w:szCs w:val="28"/>
                <w:lang w:eastAsia="en-US"/>
              </w:rPr>
              <w:t>2</w:t>
            </w:r>
          </w:p>
        </w:tc>
        <w:tc>
          <w:tcPr>
            <w:tcW w:w="0" w:type="auto"/>
            <w:tcBorders>
              <w:top w:val="single" w:color="000000" w:sz="4" w:space="0"/>
              <w:left w:val="single" w:color="000000" w:sz="4" w:space="0"/>
              <w:bottom w:val="single" w:color="000000" w:sz="4" w:space="0"/>
              <w:right w:val="single" w:color="000000" w:sz="4" w:space="0"/>
            </w:tcBorders>
          </w:tcPr>
          <w:p w14:paraId="0788D869">
            <w:pPr>
              <w:jc w:val="center"/>
              <w:rPr>
                <w:sz w:val="24"/>
                <w:szCs w:val="28"/>
                <w:lang w:eastAsia="en-US"/>
              </w:rPr>
            </w:pPr>
            <w:r>
              <w:rPr>
                <w:rFonts w:hint="eastAsia"/>
                <w:sz w:val="24"/>
                <w:szCs w:val="28"/>
                <w:lang w:eastAsia="en-US"/>
              </w:rPr>
              <w:t>摄影实训室</w:t>
            </w:r>
          </w:p>
        </w:tc>
        <w:tc>
          <w:tcPr>
            <w:tcW w:w="0" w:type="auto"/>
            <w:tcBorders>
              <w:top w:val="single" w:color="000000" w:sz="4" w:space="0"/>
              <w:left w:val="single" w:color="000000" w:sz="4" w:space="0"/>
              <w:bottom w:val="single" w:color="000000" w:sz="4" w:space="0"/>
              <w:right w:val="single" w:color="000000" w:sz="4" w:space="0"/>
            </w:tcBorders>
            <w:vAlign w:val="center"/>
          </w:tcPr>
          <w:p w14:paraId="4A7957F0">
            <w:pPr>
              <w:jc w:val="center"/>
              <w:rPr>
                <w:sz w:val="24"/>
                <w:szCs w:val="28"/>
                <w:lang w:eastAsia="en-US"/>
              </w:rPr>
            </w:pPr>
            <w:r>
              <w:rPr>
                <w:rFonts w:hint="eastAsia"/>
                <w:sz w:val="24"/>
                <w:szCs w:val="28"/>
                <w:lang w:eastAsia="en-US"/>
              </w:rPr>
              <w:t>产品拍摄、人像拍摄</w:t>
            </w:r>
          </w:p>
        </w:tc>
        <w:tc>
          <w:tcPr>
            <w:tcW w:w="0" w:type="auto"/>
            <w:tcBorders>
              <w:top w:val="single" w:color="000000" w:sz="4" w:space="0"/>
              <w:left w:val="single" w:color="000000" w:sz="4" w:space="0"/>
              <w:bottom w:val="single" w:color="000000" w:sz="4" w:space="0"/>
              <w:right w:val="single" w:color="000000" w:sz="4" w:space="0"/>
            </w:tcBorders>
            <w:vAlign w:val="center"/>
          </w:tcPr>
          <w:p w14:paraId="615E50A9">
            <w:pPr>
              <w:jc w:val="center"/>
              <w:rPr>
                <w:sz w:val="24"/>
                <w:szCs w:val="28"/>
                <w:lang w:eastAsia="en-US"/>
              </w:rPr>
            </w:pPr>
            <w:r>
              <w:rPr>
                <w:sz w:val="24"/>
                <w:szCs w:val="28"/>
                <w:lang w:eastAsia="en-US"/>
              </w:rPr>
              <w:t>摄影</w:t>
            </w:r>
            <w:r>
              <w:rPr>
                <w:rFonts w:hint="eastAsia"/>
                <w:sz w:val="24"/>
                <w:szCs w:val="28"/>
                <w:lang w:eastAsia="en-US"/>
              </w:rPr>
              <w:t>与摄像</w:t>
            </w:r>
          </w:p>
        </w:tc>
      </w:tr>
      <w:tr w14:paraId="364CB666">
        <w:tblPrEx>
          <w:tblCellMar>
            <w:top w:w="0" w:type="dxa"/>
            <w:left w:w="0" w:type="dxa"/>
            <w:bottom w:w="0" w:type="dxa"/>
            <w:right w:w="0" w:type="dxa"/>
          </w:tblCellMar>
        </w:tblPrEx>
        <w:trPr>
          <w:trHeight w:val="1179"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A4BD3B4">
            <w:pPr>
              <w:jc w:val="center"/>
              <w:rPr>
                <w:sz w:val="24"/>
                <w:szCs w:val="28"/>
                <w:lang w:eastAsia="en-US"/>
              </w:rPr>
            </w:pPr>
            <w:r>
              <w:rPr>
                <w:rFonts w:hint="eastAsia"/>
                <w:sz w:val="24"/>
                <w:szCs w:val="28"/>
                <w:lang w:eastAsia="en-US"/>
              </w:rPr>
              <w:t>3</w:t>
            </w:r>
          </w:p>
        </w:tc>
        <w:tc>
          <w:tcPr>
            <w:tcW w:w="0" w:type="auto"/>
            <w:tcBorders>
              <w:top w:val="single" w:color="000000" w:sz="4" w:space="0"/>
              <w:left w:val="single" w:color="000000" w:sz="4" w:space="0"/>
              <w:bottom w:val="single" w:color="000000" w:sz="4" w:space="0"/>
              <w:right w:val="single" w:color="000000" w:sz="4" w:space="0"/>
            </w:tcBorders>
          </w:tcPr>
          <w:p w14:paraId="55A42711">
            <w:pPr>
              <w:jc w:val="center"/>
              <w:rPr>
                <w:sz w:val="24"/>
                <w:szCs w:val="28"/>
                <w:lang w:eastAsia="en-US"/>
              </w:rPr>
            </w:pPr>
            <w:r>
              <w:rPr>
                <w:rFonts w:hint="eastAsia"/>
                <w:sz w:val="24"/>
                <w:szCs w:val="28"/>
                <w:lang w:eastAsia="en-US"/>
              </w:rPr>
              <w:t>专业机房</w:t>
            </w:r>
          </w:p>
        </w:tc>
        <w:tc>
          <w:tcPr>
            <w:tcW w:w="0" w:type="auto"/>
            <w:tcBorders>
              <w:top w:val="single" w:color="000000" w:sz="4" w:space="0"/>
              <w:left w:val="single" w:color="000000" w:sz="4" w:space="0"/>
              <w:bottom w:val="single" w:color="000000" w:sz="4" w:space="0"/>
              <w:right w:val="single" w:color="000000" w:sz="4" w:space="0"/>
            </w:tcBorders>
            <w:vAlign w:val="center"/>
          </w:tcPr>
          <w:p w14:paraId="1788DE50">
            <w:pPr>
              <w:jc w:val="center"/>
              <w:rPr>
                <w:sz w:val="24"/>
                <w:szCs w:val="28"/>
                <w:lang w:eastAsia="zh-CN"/>
              </w:rPr>
            </w:pPr>
            <w:r>
              <w:rPr>
                <w:rFonts w:hint="eastAsia"/>
                <w:sz w:val="24"/>
                <w:szCs w:val="28"/>
                <w:lang w:eastAsia="zh-CN"/>
              </w:rPr>
              <w:t>图形图像处理、交互设计、影视剪辑与合成</w:t>
            </w:r>
          </w:p>
        </w:tc>
        <w:tc>
          <w:tcPr>
            <w:tcW w:w="0" w:type="auto"/>
            <w:tcBorders>
              <w:top w:val="single" w:color="000000" w:sz="4" w:space="0"/>
              <w:left w:val="single" w:color="000000" w:sz="4" w:space="0"/>
              <w:bottom w:val="single" w:color="000000" w:sz="4" w:space="0"/>
              <w:right w:val="single" w:color="000000" w:sz="4" w:space="0"/>
            </w:tcBorders>
            <w:vAlign w:val="center"/>
          </w:tcPr>
          <w:p w14:paraId="638E9795">
            <w:pPr>
              <w:jc w:val="center"/>
              <w:rPr>
                <w:sz w:val="24"/>
                <w:szCs w:val="28"/>
                <w:lang w:eastAsia="zh-CN"/>
              </w:rPr>
            </w:pPr>
            <w:r>
              <w:rPr>
                <w:rFonts w:hint="eastAsia"/>
                <w:sz w:val="24"/>
                <w:szCs w:val="28"/>
                <w:lang w:eastAsia="zh-CN"/>
              </w:rPr>
              <w:t>计算机辅助设计</w:t>
            </w:r>
            <w:r>
              <w:rPr>
                <w:rFonts w:hint="eastAsia"/>
                <w:sz w:val="24"/>
                <w:szCs w:val="28"/>
                <w:lang w:val="en-US" w:eastAsia="zh-CN"/>
              </w:rPr>
              <w:t>PS</w:t>
            </w:r>
            <w:r>
              <w:rPr>
                <w:rFonts w:hint="eastAsia"/>
                <w:sz w:val="24"/>
                <w:szCs w:val="28"/>
                <w:lang w:eastAsia="zh-CN"/>
              </w:rPr>
              <w:t>、界面交互设计、数字出版物设计</w:t>
            </w:r>
          </w:p>
        </w:tc>
      </w:tr>
    </w:tbl>
    <w:p w14:paraId="1BAFB673">
      <w:pPr>
        <w:pStyle w:val="7"/>
        <w:spacing w:after="0"/>
        <w:ind w:firstLine="466" w:firstLineChars="200"/>
        <w:rPr>
          <w:rFonts w:ascii="宋体" w:hAnsi="宋体" w:cs="仿宋"/>
          <w:b/>
          <w:bCs/>
          <w:spacing w:val="-4"/>
          <w:sz w:val="24"/>
        </w:rPr>
      </w:pPr>
      <w:r>
        <w:rPr>
          <w:rFonts w:ascii="宋体" w:hAnsi="宋体" w:cs="仿宋"/>
          <w:b/>
          <w:bCs/>
          <w:spacing w:val="-4"/>
          <w:sz w:val="24"/>
        </w:rPr>
        <w:t>校外实训基地</w:t>
      </w:r>
    </w:p>
    <w:tbl>
      <w:tblPr>
        <w:tblStyle w:val="132"/>
        <w:tblW w:w="5020" w:type="pct"/>
        <w:jc w:val="center"/>
        <w:tblLayout w:type="autofit"/>
        <w:tblCellMar>
          <w:top w:w="0" w:type="dxa"/>
          <w:left w:w="0" w:type="dxa"/>
          <w:bottom w:w="0" w:type="dxa"/>
          <w:right w:w="0" w:type="dxa"/>
        </w:tblCellMar>
      </w:tblPr>
      <w:tblGrid>
        <w:gridCol w:w="535"/>
        <w:gridCol w:w="1689"/>
        <w:gridCol w:w="4945"/>
        <w:gridCol w:w="2329"/>
      </w:tblGrid>
      <w:tr w14:paraId="4468CDCC">
        <w:tblPrEx>
          <w:tblCellMar>
            <w:top w:w="0" w:type="dxa"/>
            <w:left w:w="0" w:type="dxa"/>
            <w:bottom w:w="0" w:type="dxa"/>
            <w:right w:w="0" w:type="dxa"/>
          </w:tblCellMar>
        </w:tblPrEx>
        <w:trPr>
          <w:trHeight w:val="857" w:hRule="exact"/>
          <w:jc w:val="center"/>
        </w:trPr>
        <w:tc>
          <w:tcPr>
            <w:tcW w:w="282" w:type="pct"/>
            <w:tcBorders>
              <w:top w:val="single" w:color="auto" w:sz="4" w:space="0"/>
              <w:left w:val="single" w:color="000000" w:sz="4" w:space="0"/>
              <w:bottom w:val="single" w:color="000000" w:sz="4" w:space="0"/>
              <w:right w:val="single" w:color="000000" w:sz="4" w:space="0"/>
            </w:tcBorders>
            <w:vAlign w:val="center"/>
          </w:tcPr>
          <w:p w14:paraId="50705B0A">
            <w:pPr>
              <w:jc w:val="center"/>
              <w:rPr>
                <w:rFonts w:hint="eastAsia"/>
                <w:sz w:val="24"/>
                <w:szCs w:val="28"/>
                <w:lang w:eastAsia="en-US"/>
              </w:rPr>
            </w:pPr>
            <w:r>
              <w:rPr>
                <w:rFonts w:hint="eastAsia"/>
                <w:sz w:val="24"/>
                <w:szCs w:val="28"/>
                <w:lang w:eastAsia="en-US"/>
              </w:rPr>
              <w:t>1</w:t>
            </w:r>
          </w:p>
        </w:tc>
        <w:tc>
          <w:tcPr>
            <w:tcW w:w="889" w:type="pct"/>
            <w:tcBorders>
              <w:top w:val="single" w:color="auto" w:sz="4" w:space="0"/>
              <w:left w:val="single" w:color="000000" w:sz="4" w:space="0"/>
              <w:bottom w:val="single" w:color="000000" w:sz="4" w:space="0"/>
              <w:right w:val="single" w:color="000000" w:sz="4" w:space="0"/>
            </w:tcBorders>
            <w:vAlign w:val="center"/>
          </w:tcPr>
          <w:p w14:paraId="0E9B836E">
            <w:pPr>
              <w:jc w:val="center"/>
              <w:rPr>
                <w:rFonts w:hint="eastAsia"/>
                <w:sz w:val="24"/>
                <w:szCs w:val="28"/>
                <w:lang w:eastAsia="zh-CN"/>
              </w:rPr>
            </w:pPr>
            <w:r>
              <w:rPr>
                <w:rFonts w:hint="eastAsia"/>
                <w:sz w:val="24"/>
                <w:szCs w:val="28"/>
                <w:lang w:eastAsia="zh-CN"/>
              </w:rPr>
              <w:t>江苏瑞祥科技集团有限公司</w:t>
            </w:r>
          </w:p>
        </w:tc>
        <w:tc>
          <w:tcPr>
            <w:tcW w:w="2603" w:type="pct"/>
            <w:tcBorders>
              <w:top w:val="single" w:color="000000" w:sz="4" w:space="0"/>
              <w:left w:val="single" w:color="000000" w:sz="4" w:space="0"/>
              <w:bottom w:val="single" w:color="000000" w:sz="4" w:space="0"/>
              <w:right w:val="single" w:color="000000" w:sz="4" w:space="0"/>
            </w:tcBorders>
            <w:vAlign w:val="center"/>
          </w:tcPr>
          <w:p w14:paraId="0A579E5E">
            <w:pPr>
              <w:jc w:val="center"/>
              <w:rPr>
                <w:rFonts w:hint="eastAsia"/>
                <w:sz w:val="24"/>
                <w:szCs w:val="28"/>
                <w:lang w:eastAsia="zh-CN"/>
              </w:rPr>
            </w:pPr>
            <w:r>
              <w:rPr>
                <w:rFonts w:hint="eastAsia"/>
                <w:sz w:val="24"/>
                <w:szCs w:val="28"/>
                <w:lang w:eastAsia="zh-CN"/>
              </w:rPr>
              <w:t>海报设计、单页设计、详情页设计</w:t>
            </w:r>
          </w:p>
        </w:tc>
        <w:tc>
          <w:tcPr>
            <w:tcW w:w="1226" w:type="pct"/>
            <w:tcBorders>
              <w:top w:val="single" w:color="000000" w:sz="4" w:space="0"/>
              <w:left w:val="single" w:color="000000" w:sz="4" w:space="0"/>
              <w:bottom w:val="single" w:color="000000" w:sz="4" w:space="0"/>
              <w:right w:val="single" w:color="000000" w:sz="4" w:space="0"/>
            </w:tcBorders>
            <w:vAlign w:val="center"/>
          </w:tcPr>
          <w:p w14:paraId="0019F499">
            <w:pPr>
              <w:jc w:val="center"/>
              <w:rPr>
                <w:rFonts w:hint="default"/>
                <w:sz w:val="24"/>
                <w:szCs w:val="28"/>
                <w:lang w:val="en-US" w:eastAsia="zh-CN"/>
              </w:rPr>
            </w:pPr>
            <w:r>
              <w:rPr>
                <w:rFonts w:hint="eastAsia"/>
                <w:sz w:val="24"/>
                <w:szCs w:val="28"/>
                <w:lang w:eastAsia="zh-CN"/>
              </w:rPr>
              <w:t>版式设计、计算机辅助设计PS、</w:t>
            </w:r>
            <w:r>
              <w:rPr>
                <w:rFonts w:hint="eastAsia"/>
                <w:sz w:val="24"/>
                <w:szCs w:val="28"/>
                <w:lang w:val="en-US" w:eastAsia="zh-CN"/>
              </w:rPr>
              <w:t>AI</w:t>
            </w:r>
          </w:p>
        </w:tc>
      </w:tr>
      <w:tr w14:paraId="2BFFDDE3">
        <w:tblPrEx>
          <w:tblCellMar>
            <w:top w:w="0" w:type="dxa"/>
            <w:left w:w="0" w:type="dxa"/>
            <w:bottom w:w="0" w:type="dxa"/>
            <w:right w:w="0" w:type="dxa"/>
          </w:tblCellMar>
        </w:tblPrEx>
        <w:trPr>
          <w:trHeight w:val="957"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6E2F5175">
            <w:pPr>
              <w:jc w:val="center"/>
              <w:rPr>
                <w:rFonts w:hint="eastAsia"/>
                <w:sz w:val="24"/>
                <w:szCs w:val="28"/>
                <w:lang w:eastAsia="en-US"/>
              </w:rPr>
            </w:pPr>
            <w:r>
              <w:rPr>
                <w:rFonts w:hint="eastAsia"/>
                <w:sz w:val="24"/>
                <w:szCs w:val="28"/>
                <w:lang w:eastAsia="en-US"/>
              </w:rPr>
              <w:t>2</w:t>
            </w:r>
          </w:p>
        </w:tc>
        <w:tc>
          <w:tcPr>
            <w:tcW w:w="889" w:type="pct"/>
            <w:tcBorders>
              <w:top w:val="single" w:color="000000" w:sz="4" w:space="0"/>
              <w:left w:val="single" w:color="000000" w:sz="4" w:space="0"/>
              <w:bottom w:val="single" w:color="000000" w:sz="4" w:space="0"/>
              <w:right w:val="single" w:color="000000" w:sz="4" w:space="0"/>
            </w:tcBorders>
            <w:vAlign w:val="center"/>
          </w:tcPr>
          <w:p w14:paraId="7FE2811E">
            <w:pPr>
              <w:jc w:val="center"/>
              <w:rPr>
                <w:rFonts w:hint="eastAsia"/>
                <w:sz w:val="24"/>
                <w:szCs w:val="28"/>
                <w:lang w:eastAsia="zh-CN"/>
              </w:rPr>
            </w:pPr>
            <w:r>
              <w:rPr>
                <w:rFonts w:hint="eastAsia"/>
                <w:sz w:val="24"/>
                <w:szCs w:val="28"/>
                <w:lang w:eastAsia="zh-CN"/>
              </w:rPr>
              <w:t>上海红星美凯龙品牌管理有限公司扬中分公司</w:t>
            </w:r>
          </w:p>
        </w:tc>
        <w:tc>
          <w:tcPr>
            <w:tcW w:w="2603" w:type="pct"/>
            <w:tcBorders>
              <w:top w:val="single" w:color="000000" w:sz="4" w:space="0"/>
              <w:left w:val="single" w:color="000000" w:sz="4" w:space="0"/>
              <w:bottom w:val="single" w:color="000000" w:sz="4" w:space="0"/>
              <w:right w:val="single" w:color="000000" w:sz="4" w:space="0"/>
            </w:tcBorders>
            <w:vAlign w:val="center"/>
          </w:tcPr>
          <w:p w14:paraId="63091473">
            <w:pPr>
              <w:jc w:val="center"/>
              <w:rPr>
                <w:rFonts w:hint="eastAsia"/>
                <w:sz w:val="24"/>
                <w:szCs w:val="28"/>
                <w:lang w:eastAsia="zh-CN"/>
              </w:rPr>
            </w:pPr>
            <w:r>
              <w:rPr>
                <w:rFonts w:hint="eastAsia"/>
                <w:sz w:val="24"/>
                <w:szCs w:val="28"/>
                <w:lang w:eastAsia="zh-CN"/>
              </w:rPr>
              <w:t>软装设计、定制家具设计、瓷砖铺贴设计</w:t>
            </w:r>
          </w:p>
        </w:tc>
        <w:tc>
          <w:tcPr>
            <w:tcW w:w="1226" w:type="pct"/>
            <w:tcBorders>
              <w:top w:val="single" w:color="000000" w:sz="4" w:space="0"/>
              <w:left w:val="single" w:color="000000" w:sz="4" w:space="0"/>
              <w:bottom w:val="single" w:color="000000" w:sz="4" w:space="0"/>
              <w:right w:val="single" w:color="000000" w:sz="4" w:space="0"/>
            </w:tcBorders>
            <w:vAlign w:val="center"/>
          </w:tcPr>
          <w:p w14:paraId="24E3E25E">
            <w:pPr>
              <w:jc w:val="center"/>
              <w:rPr>
                <w:rFonts w:hint="eastAsia"/>
                <w:sz w:val="24"/>
                <w:szCs w:val="28"/>
                <w:lang w:eastAsia="en-US"/>
              </w:rPr>
            </w:pPr>
            <w:r>
              <w:rPr>
                <w:rFonts w:hint="eastAsia"/>
                <w:sz w:val="24"/>
                <w:szCs w:val="28"/>
                <w:lang w:eastAsia="en-US"/>
              </w:rPr>
              <w:t>装饰图案、展示设计</w:t>
            </w:r>
          </w:p>
        </w:tc>
      </w:tr>
      <w:tr w14:paraId="0FC49B7D">
        <w:tblPrEx>
          <w:tblCellMar>
            <w:top w:w="0" w:type="dxa"/>
            <w:left w:w="0" w:type="dxa"/>
            <w:bottom w:w="0" w:type="dxa"/>
            <w:right w:w="0" w:type="dxa"/>
          </w:tblCellMar>
        </w:tblPrEx>
        <w:trPr>
          <w:trHeight w:val="857"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454B4480">
            <w:pPr>
              <w:jc w:val="center"/>
              <w:rPr>
                <w:rFonts w:hint="eastAsia"/>
                <w:sz w:val="24"/>
                <w:szCs w:val="28"/>
                <w:lang w:eastAsia="en-US"/>
              </w:rPr>
            </w:pPr>
            <w:r>
              <w:rPr>
                <w:rFonts w:hint="eastAsia"/>
                <w:sz w:val="24"/>
                <w:szCs w:val="28"/>
                <w:lang w:eastAsia="en-US"/>
              </w:rPr>
              <w:t>3</w:t>
            </w:r>
          </w:p>
        </w:tc>
        <w:tc>
          <w:tcPr>
            <w:tcW w:w="889" w:type="pct"/>
            <w:tcBorders>
              <w:top w:val="single" w:color="000000" w:sz="4" w:space="0"/>
              <w:left w:val="single" w:color="000000" w:sz="4" w:space="0"/>
              <w:bottom w:val="single" w:color="000000" w:sz="4" w:space="0"/>
              <w:right w:val="single" w:color="000000" w:sz="4" w:space="0"/>
            </w:tcBorders>
            <w:vAlign w:val="center"/>
          </w:tcPr>
          <w:p w14:paraId="75F15A56">
            <w:pPr>
              <w:jc w:val="center"/>
              <w:rPr>
                <w:rFonts w:hint="eastAsia"/>
                <w:sz w:val="24"/>
                <w:szCs w:val="28"/>
                <w:lang w:eastAsia="en-US"/>
              </w:rPr>
            </w:pPr>
            <w:r>
              <w:rPr>
                <w:rFonts w:hint="eastAsia"/>
                <w:sz w:val="24"/>
                <w:szCs w:val="28"/>
                <w:lang w:eastAsia="en-US"/>
              </w:rPr>
              <w:t>扬中市融媒体中心</w:t>
            </w:r>
          </w:p>
        </w:tc>
        <w:tc>
          <w:tcPr>
            <w:tcW w:w="2603" w:type="pct"/>
            <w:tcBorders>
              <w:top w:val="single" w:color="000000" w:sz="4" w:space="0"/>
              <w:left w:val="single" w:color="000000" w:sz="4" w:space="0"/>
              <w:bottom w:val="single" w:color="000000" w:sz="4" w:space="0"/>
              <w:right w:val="single" w:color="000000" w:sz="4" w:space="0"/>
            </w:tcBorders>
            <w:vAlign w:val="center"/>
          </w:tcPr>
          <w:p w14:paraId="2F78D283">
            <w:pPr>
              <w:jc w:val="center"/>
              <w:rPr>
                <w:rFonts w:hint="eastAsia"/>
                <w:sz w:val="24"/>
                <w:szCs w:val="28"/>
                <w:lang w:eastAsia="zh-CN"/>
              </w:rPr>
            </w:pPr>
            <w:r>
              <w:rPr>
                <w:rFonts w:hint="eastAsia"/>
                <w:sz w:val="24"/>
                <w:szCs w:val="28"/>
                <w:lang w:eastAsia="zh-CN"/>
              </w:rPr>
              <w:t>新闻采访、短视频拍摄</w:t>
            </w:r>
          </w:p>
        </w:tc>
        <w:tc>
          <w:tcPr>
            <w:tcW w:w="1226" w:type="pct"/>
            <w:tcBorders>
              <w:top w:val="single" w:color="000000" w:sz="4" w:space="0"/>
              <w:left w:val="single" w:color="000000" w:sz="4" w:space="0"/>
              <w:bottom w:val="single" w:color="000000" w:sz="4" w:space="0"/>
              <w:right w:val="single" w:color="000000" w:sz="4" w:space="0"/>
            </w:tcBorders>
            <w:vAlign w:val="center"/>
          </w:tcPr>
          <w:p w14:paraId="2F480DE5">
            <w:pPr>
              <w:jc w:val="center"/>
              <w:rPr>
                <w:rFonts w:hint="eastAsia"/>
                <w:sz w:val="24"/>
                <w:szCs w:val="28"/>
                <w:lang w:eastAsia="zh-CN"/>
              </w:rPr>
            </w:pPr>
            <w:r>
              <w:rPr>
                <w:rFonts w:hint="eastAsia"/>
                <w:sz w:val="24"/>
                <w:szCs w:val="28"/>
                <w:lang w:eastAsia="zh-CN"/>
              </w:rPr>
              <w:t>摄影与摄像、影视剪辑</w:t>
            </w:r>
          </w:p>
        </w:tc>
      </w:tr>
    </w:tbl>
    <w:p w14:paraId="3029FDBC">
      <w:pPr>
        <w:snapToGrid w:val="0"/>
        <w:spacing w:line="360" w:lineRule="auto"/>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5" w:name="_bookmark16"/>
      <w:bookmarkEnd w:id="25"/>
      <w:bookmarkStart w:id="26" w:name="_Toc197702705"/>
      <w:r>
        <w:t>（三）教学资源</w:t>
      </w:r>
      <w:bookmarkEnd w:id="26"/>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ascii="Times New Roman" w:hAnsi="Times New Roman" w:eastAsia="宋体" w:cs="Times New Roman"/>
          <w:sz w:val="24"/>
          <w:szCs w:val="32"/>
        </w:rPr>
        <w:t>广告艺术</w:t>
      </w:r>
      <w:r>
        <w:rPr>
          <w:sz w:val="24"/>
        </w:rPr>
        <w:t>技术、方法、思维以及实务操作类图书，</w:t>
      </w:r>
      <w:r>
        <w:rPr>
          <w:rFonts w:hint="eastAsia" w:ascii="Times New Roman" w:hAnsi="Times New Roman" w:eastAsia="宋体" w:cs="Times New Roman"/>
          <w:sz w:val="24"/>
          <w:szCs w:val="32"/>
        </w:rPr>
        <w:t>广告艺术设计</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ind w:left="423" w:leftChars="0" w:firstLineChars="0"/>
      </w:pPr>
      <w:bookmarkStart w:id="27" w:name="_Toc197702706"/>
      <w:r>
        <w:t>质量保障和毕业要求</w:t>
      </w:r>
      <w:bookmarkEnd w:id="27"/>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19"/>
      <w:bookmarkEnd w:id="20"/>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E86FE"/>
    <w:multiLevelType w:val="singleLevel"/>
    <w:tmpl w:val="C40E86FE"/>
    <w:lvl w:ilvl="0" w:tentative="0">
      <w:start w:val="1"/>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942678B"/>
    <w:multiLevelType w:val="multilevel"/>
    <w:tmpl w:val="6942678B"/>
    <w:lvl w:ilvl="0" w:tentative="0">
      <w:start w:val="1"/>
      <w:numFmt w:val="chineseCountingThousand"/>
      <w:pStyle w:val="3"/>
      <w:suff w:val="nothing"/>
      <w:lvlText w:val="%1、"/>
      <w:lvlJc w:val="left"/>
      <w:pPr>
        <w:ind w:left="1843"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4555C33"/>
    <w:rsid w:val="094B7005"/>
    <w:rsid w:val="231A0926"/>
    <w:rsid w:val="2CDB214E"/>
    <w:rsid w:val="334466A9"/>
    <w:rsid w:val="348B5182"/>
    <w:rsid w:val="3E0F18FC"/>
    <w:rsid w:val="42B122F0"/>
    <w:rsid w:val="45A312C2"/>
    <w:rsid w:val="4E4361B3"/>
    <w:rsid w:val="50ED3C47"/>
    <w:rsid w:val="51A95109"/>
    <w:rsid w:val="55FE2471"/>
    <w:rsid w:val="572469E6"/>
    <w:rsid w:val="5F762003"/>
    <w:rsid w:val="60843CA4"/>
    <w:rsid w:val="61F965C9"/>
    <w:rsid w:val="79D247E1"/>
    <w:rsid w:val="7A375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2160</Words>
  <Characters>2195</Characters>
  <Lines>49</Lines>
  <Paragraphs>13</Paragraphs>
  <TotalTime>4</TotalTime>
  <ScaleCrop>false</ScaleCrop>
  <LinksUpToDate>false</LinksUpToDate>
  <CharactersWithSpaces>2332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独白</cp:lastModifiedBy>
  <cp:lastPrinted>2025-05-12T02:07:00Z</cp:lastPrinted>
  <dcterms:modified xsi:type="dcterms:W3CDTF">2025-06-09T06:51:48Z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eyJoZGlkIjoiNGQ4YzYxNzBiOThiYzFiZmVkOTYwOTc1MDYyOGIwOWMiLCJ1c2VySWQiOiI0MDI3NzY4MzYifQ==</vt:lpwstr>
  </property>
  <property fmtid="{D5CDD505-2E9C-101B-9397-08002B2CF9AE}" pid="3" name="KSOProductBuildVer">
    <vt:lpwstr>2052-12.1.0.19770</vt:lpwstr>
  </property>
  <property fmtid="{D5CDD505-2E9C-101B-9397-08002B2CF9AE}" pid="4" name="ICV">
    <vt:lpwstr>94004F61AC984C3DAB0C034872E65F9F_13</vt:lpwstr>
  </property>
</Properties>
</file>