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36086053"/>
      <w:bookmarkStart w:id="1" w:name="_Toc418758133"/>
      <w:bookmarkStart w:id="2" w:name="_Toc422736380"/>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ind w:firstLine="640" w:firstLineChars="200"/>
              <w:rPr>
                <w:rFonts w:hint="default" w:ascii="仿宋" w:hAnsi="仿宋" w:eastAsia="仿宋"/>
                <w:sz w:val="32"/>
                <w:szCs w:val="32"/>
                <w:lang w:val="en-US"/>
              </w:rPr>
            </w:pPr>
            <w:r>
              <w:rPr>
                <w:rFonts w:hint="eastAsia" w:ascii="仿宋" w:hAnsi="仿宋" w:eastAsia="仿宋"/>
                <w:sz w:val="32"/>
                <w:szCs w:val="32"/>
                <w:lang w:val="en-US" w:eastAsia="zh-CN"/>
              </w:rPr>
              <w:t>现代服务与管理学院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ind w:firstLine="1280" w:firstLineChars="400"/>
              <w:rPr>
                <w:rFonts w:hint="eastAsia" w:ascii="仿宋" w:hAnsi="仿宋" w:eastAsia="仿宋"/>
                <w:sz w:val="32"/>
                <w:szCs w:val="32"/>
                <w:lang w:val="en-US" w:eastAsia="zh-CN"/>
              </w:rPr>
            </w:pPr>
            <w:r>
              <w:rPr>
                <w:rFonts w:hint="eastAsia" w:ascii="仿宋" w:hAnsi="仿宋" w:eastAsia="仿宋"/>
                <w:sz w:val="32"/>
                <w:szCs w:val="32"/>
                <w:lang w:val="en-US" w:eastAsia="zh-CN"/>
              </w:rPr>
              <w:t>应用英语</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ind w:firstLine="1280" w:firstLineChars="400"/>
              <w:rPr>
                <w:rFonts w:hint="eastAsia" w:ascii="仿宋" w:hAnsi="仿宋" w:eastAsia="仿宋"/>
                <w:sz w:val="32"/>
                <w:szCs w:val="32"/>
                <w:lang w:val="en-US" w:eastAsia="zh-CN"/>
              </w:rPr>
            </w:pPr>
            <w:r>
              <w:rPr>
                <w:rFonts w:hint="eastAsia" w:ascii="仿宋" w:hAnsi="仿宋" w:eastAsia="仿宋"/>
                <w:sz w:val="32"/>
                <w:szCs w:val="32"/>
                <w:lang w:val="en-US" w:eastAsia="zh-CN"/>
              </w:rPr>
              <w:t>周 诗 凡</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sz w:val="32"/>
                <w:szCs w:val="32"/>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sz w:val="32"/>
                <w:szCs w:val="32"/>
              </w:rPr>
            </w:pP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w:t>
          </w:r>
          <w:r>
            <w:rPr>
              <w:rFonts w:hint="eastAsia"/>
              <w:color w:val="auto"/>
              <w:lang w:val="en-US" w:eastAsia="zh-CN"/>
            </w:rPr>
            <w:t xml:space="preserve"> </w:t>
          </w:r>
          <w:r>
            <w:rPr>
              <w:color w:val="auto"/>
              <w:lang w:val="zh-CN"/>
            </w:rPr>
            <w:t>录</w:t>
          </w:r>
        </w:p>
        <w:p w14:paraId="785B5C25">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TOC \o "1-3" \h \z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"_Toc197702688" </w:instrText>
          </w:r>
          <w:r>
            <w:rPr>
              <w:rFonts w:hint="eastAsia" w:ascii="宋体" w:hAnsi="宋体" w:eastAsia="宋体" w:cs="宋体"/>
              <w:sz w:val="24"/>
              <w:szCs w:val="24"/>
            </w:rPr>
            <w:fldChar w:fldCharType="separate"/>
          </w:r>
          <w:r>
            <w:rPr>
              <w:rFonts w:hint="eastAsia" w:ascii="宋体" w:hAnsi="宋体" w:eastAsia="宋体" w:cs="宋体"/>
              <w:sz w:val="24"/>
              <w:szCs w:val="24"/>
            </w:rPr>
            <w:t>一、 专业名称与代码</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_Toc197702688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3EAF40C">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"_Toc197702689" </w:instrText>
          </w:r>
          <w:r>
            <w:rPr>
              <w:rFonts w:hint="eastAsia" w:ascii="宋体" w:hAnsi="宋体" w:eastAsia="宋体" w:cs="宋体"/>
              <w:sz w:val="24"/>
              <w:szCs w:val="24"/>
            </w:rPr>
            <w:fldChar w:fldCharType="separate"/>
          </w:r>
          <w:r>
            <w:rPr>
              <w:rFonts w:hint="eastAsia" w:ascii="宋体" w:hAnsi="宋体" w:eastAsia="宋体" w:cs="宋体"/>
              <w:sz w:val="24"/>
              <w:szCs w:val="24"/>
            </w:rPr>
            <w:t>二、 培养对象与学制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_Toc197702689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7A14CE5">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"_Toc197702690" </w:instrText>
          </w:r>
          <w:r>
            <w:rPr>
              <w:rFonts w:hint="eastAsia" w:ascii="宋体" w:hAnsi="宋体" w:eastAsia="宋体" w:cs="宋体"/>
              <w:sz w:val="24"/>
              <w:szCs w:val="24"/>
            </w:rPr>
            <w:fldChar w:fldCharType="separate"/>
          </w:r>
          <w:r>
            <w:rPr>
              <w:rFonts w:hint="eastAsia" w:ascii="宋体" w:hAnsi="宋体" w:eastAsia="宋体" w:cs="宋体"/>
              <w:sz w:val="24"/>
              <w:szCs w:val="24"/>
            </w:rPr>
            <w:t>三、 职业面向（参照教育部标准）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_Toc197702690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20FD38C">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"_Toc197702691" </w:instrText>
          </w:r>
          <w:r>
            <w:rPr>
              <w:rFonts w:hint="eastAsia" w:ascii="宋体" w:hAnsi="宋体" w:eastAsia="宋体" w:cs="宋体"/>
              <w:sz w:val="24"/>
              <w:szCs w:val="24"/>
            </w:rPr>
            <w:fldChar w:fldCharType="separate"/>
          </w:r>
          <w:r>
            <w:rPr>
              <w:rFonts w:hint="eastAsia" w:ascii="宋体" w:hAnsi="宋体" w:eastAsia="宋体" w:cs="宋体"/>
              <w:sz w:val="24"/>
              <w:szCs w:val="24"/>
            </w:rPr>
            <w:t>四、 培养目标（参照教育部标准）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_Toc197702691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43359FC">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"_Toc197702692" </w:instrText>
          </w:r>
          <w:r>
            <w:rPr>
              <w:rFonts w:hint="eastAsia" w:ascii="宋体" w:hAnsi="宋体" w:eastAsia="宋体" w:cs="宋体"/>
              <w:sz w:val="24"/>
              <w:szCs w:val="24"/>
            </w:rPr>
            <w:fldChar w:fldCharType="separate"/>
          </w:r>
          <w:r>
            <w:rPr>
              <w:rFonts w:hint="eastAsia" w:ascii="宋体" w:hAnsi="宋体" w:eastAsia="宋体" w:cs="宋体"/>
              <w:sz w:val="24"/>
              <w:szCs w:val="24"/>
            </w:rPr>
            <w:t>五、 培养规格（参照教育部标准）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_Toc197702692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10FCDE5">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"_Toc197702693" </w:instrText>
          </w:r>
          <w:r>
            <w:rPr>
              <w:rFonts w:hint="eastAsia" w:ascii="宋体" w:hAnsi="宋体" w:eastAsia="宋体" w:cs="宋体"/>
              <w:sz w:val="24"/>
              <w:szCs w:val="24"/>
            </w:rPr>
            <w:fldChar w:fldCharType="separate"/>
          </w:r>
          <w:r>
            <w:rPr>
              <w:rFonts w:hint="eastAsia" w:ascii="宋体" w:hAnsi="宋体" w:eastAsia="宋体" w:cs="宋体"/>
              <w:sz w:val="24"/>
              <w:szCs w:val="24"/>
            </w:rPr>
            <w:t>六、 课程设置及学时安排（参照教育部标准）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_Toc197702693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65AB09F">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"_Toc197702694" </w:instrText>
          </w:r>
          <w:r>
            <w:rPr>
              <w:rFonts w:hint="eastAsia" w:ascii="宋体" w:hAnsi="宋体" w:eastAsia="宋体" w:cs="宋体"/>
              <w:sz w:val="24"/>
              <w:szCs w:val="24"/>
            </w:rPr>
            <w:fldChar w:fldCharType="separate"/>
          </w:r>
          <w:r>
            <w:rPr>
              <w:rFonts w:hint="eastAsia" w:ascii="宋体" w:hAnsi="宋体" w:eastAsia="宋体" w:cs="宋体"/>
              <w:sz w:val="24"/>
              <w:szCs w:val="24"/>
            </w:rPr>
            <w:t>1． 公共基础课程</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_Toc197702694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03682DA">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"_Toc197702695" </w:instrText>
          </w:r>
          <w:r>
            <w:rPr>
              <w:rFonts w:hint="eastAsia" w:ascii="宋体" w:hAnsi="宋体" w:eastAsia="宋体" w:cs="宋体"/>
              <w:sz w:val="24"/>
              <w:szCs w:val="24"/>
            </w:rPr>
            <w:fldChar w:fldCharType="separate"/>
          </w:r>
          <w:r>
            <w:rPr>
              <w:rFonts w:hint="eastAsia" w:ascii="宋体" w:hAnsi="宋体" w:eastAsia="宋体" w:cs="宋体"/>
              <w:sz w:val="24"/>
              <w:szCs w:val="24"/>
            </w:rPr>
            <w:t>2． 专业课程</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_Toc197702695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646BCCA">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"_Toc197702696" </w:instrText>
          </w:r>
          <w:r>
            <w:rPr>
              <w:rFonts w:hint="eastAsia" w:ascii="宋体" w:hAnsi="宋体" w:eastAsia="宋体" w:cs="宋体"/>
              <w:sz w:val="24"/>
              <w:szCs w:val="24"/>
            </w:rPr>
            <w:fldChar w:fldCharType="separate"/>
          </w:r>
          <w:r>
            <w:rPr>
              <w:rFonts w:hint="eastAsia" w:ascii="宋体" w:hAnsi="宋体" w:eastAsia="宋体" w:cs="宋体"/>
              <w:sz w:val="24"/>
              <w:szCs w:val="24"/>
            </w:rPr>
            <w:t>3． 实践性教学环节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_Toc197702696 \h </w:instrText>
          </w:r>
          <w:r>
            <w:rPr>
              <w:rFonts w:hint="eastAsia" w:ascii="宋体" w:hAnsi="宋体" w:eastAsia="宋体" w:cs="宋体"/>
              <w:sz w:val="24"/>
              <w:szCs w:val="24"/>
            </w:rPr>
            <w:fldChar w:fldCharType="separate"/>
          </w:r>
          <w:r>
            <w:rPr>
              <w:rFonts w:hint="eastAsia" w:ascii="宋体" w:hAnsi="宋体" w:eastAsia="宋体" w:cs="宋体"/>
              <w:sz w:val="24"/>
              <w:szCs w:val="24"/>
            </w:rPr>
            <w:t>- 2 -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2C551D2">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"_Toc197702697" </w:instrText>
          </w:r>
          <w:r>
            <w:rPr>
              <w:rFonts w:hint="eastAsia" w:ascii="宋体" w:hAnsi="宋体" w:eastAsia="宋体" w:cs="宋体"/>
              <w:sz w:val="24"/>
              <w:szCs w:val="24"/>
            </w:rPr>
            <w:fldChar w:fldCharType="separate"/>
          </w:r>
          <w:r>
            <w:rPr>
              <w:rFonts w:hint="eastAsia" w:ascii="宋体" w:hAnsi="宋体" w:eastAsia="宋体" w:cs="宋体"/>
              <w:sz w:val="24"/>
              <w:szCs w:val="24"/>
            </w:rPr>
            <w:t>4． 相关要求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_Toc197702697 \h </w:instrText>
          </w:r>
          <w:r>
            <w:rPr>
              <w:rFonts w:hint="eastAsia" w:ascii="宋体" w:hAnsi="宋体" w:eastAsia="宋体" w:cs="宋体"/>
              <w:sz w:val="24"/>
              <w:szCs w:val="24"/>
            </w:rPr>
            <w:fldChar w:fldCharType="separate"/>
          </w:r>
          <w:r>
            <w:rPr>
              <w:rFonts w:hint="eastAsia" w:ascii="宋体" w:hAnsi="宋体" w:eastAsia="宋体" w:cs="宋体"/>
              <w:sz w:val="24"/>
              <w:szCs w:val="24"/>
            </w:rPr>
            <w:t>- 2 -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6E0C738">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"_Toc197702698" </w:instrText>
          </w:r>
          <w:r>
            <w:rPr>
              <w:rFonts w:hint="eastAsia" w:ascii="宋体" w:hAnsi="宋体" w:eastAsia="宋体" w:cs="宋体"/>
              <w:sz w:val="24"/>
              <w:szCs w:val="24"/>
            </w:rPr>
            <w:fldChar w:fldCharType="separate"/>
          </w:r>
          <w:r>
            <w:rPr>
              <w:rFonts w:hint="eastAsia" w:ascii="宋体" w:hAnsi="宋体" w:eastAsia="宋体" w:cs="宋体"/>
              <w:sz w:val="24"/>
              <w:szCs w:val="24"/>
            </w:rPr>
            <w:t>七、 学时安排</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_Toc197702698 \h </w:instrText>
          </w:r>
          <w:r>
            <w:rPr>
              <w:rFonts w:hint="eastAsia" w:ascii="宋体" w:hAnsi="宋体" w:eastAsia="宋体" w:cs="宋体"/>
              <w:sz w:val="24"/>
              <w:szCs w:val="24"/>
            </w:rPr>
            <w:fldChar w:fldCharType="separate"/>
          </w:r>
          <w:r>
            <w:rPr>
              <w:rFonts w:hint="eastAsia" w:ascii="宋体" w:hAnsi="宋体" w:eastAsia="宋体" w:cs="宋体"/>
              <w:sz w:val="24"/>
              <w:szCs w:val="24"/>
            </w:rPr>
            <w:t>- 2 -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84798B2">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"_Toc197702699" </w:instrText>
          </w:r>
          <w:r>
            <w:rPr>
              <w:rFonts w:hint="eastAsia" w:ascii="宋体" w:hAnsi="宋体" w:eastAsia="宋体" w:cs="宋体"/>
              <w:sz w:val="24"/>
              <w:szCs w:val="24"/>
            </w:rPr>
            <w:fldChar w:fldCharType="separate"/>
          </w:r>
          <w:r>
            <w:rPr>
              <w:rFonts w:hint="eastAsia" w:ascii="宋体" w:hAnsi="宋体" w:eastAsia="宋体" w:cs="宋体"/>
              <w:sz w:val="24"/>
              <w:szCs w:val="24"/>
            </w:rPr>
            <w:t>八、 教学活动时间分配表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_Toc197702699 \h </w:instrText>
          </w:r>
          <w:r>
            <w:rPr>
              <w:rFonts w:hint="eastAsia" w:ascii="宋体" w:hAnsi="宋体" w:eastAsia="宋体" w:cs="宋体"/>
              <w:sz w:val="24"/>
              <w:szCs w:val="24"/>
            </w:rPr>
            <w:fldChar w:fldCharType="separate"/>
          </w:r>
          <w:r>
            <w:rPr>
              <w:rFonts w:hint="eastAsia" w:ascii="宋体" w:hAnsi="宋体" w:eastAsia="宋体" w:cs="宋体"/>
              <w:sz w:val="24"/>
              <w:szCs w:val="24"/>
            </w:rPr>
            <w:t>- 3 -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DB9A720">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"_Toc197702700" </w:instrText>
          </w:r>
          <w:r>
            <w:rPr>
              <w:rFonts w:hint="eastAsia" w:ascii="宋体" w:hAnsi="宋体" w:eastAsia="宋体" w:cs="宋体"/>
              <w:sz w:val="24"/>
              <w:szCs w:val="24"/>
            </w:rPr>
            <w:fldChar w:fldCharType="separate"/>
          </w:r>
          <w:r>
            <w:rPr>
              <w:rFonts w:hint="eastAsia" w:ascii="宋体" w:hAnsi="宋体" w:eastAsia="宋体" w:cs="宋体"/>
              <w:sz w:val="24"/>
              <w:szCs w:val="24"/>
            </w:rPr>
            <w:t>九、 学时分配比例表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_Toc197702700 \h </w:instrText>
          </w:r>
          <w:r>
            <w:rPr>
              <w:rFonts w:hint="eastAsia" w:ascii="宋体" w:hAnsi="宋体" w:eastAsia="宋体" w:cs="宋体"/>
              <w:sz w:val="24"/>
              <w:szCs w:val="24"/>
            </w:rPr>
            <w:fldChar w:fldCharType="separate"/>
          </w:r>
          <w:r>
            <w:rPr>
              <w:rFonts w:hint="eastAsia" w:ascii="宋体" w:hAnsi="宋体" w:eastAsia="宋体" w:cs="宋体"/>
              <w:sz w:val="24"/>
              <w:szCs w:val="24"/>
            </w:rPr>
            <w:t>- 3 -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64D54E3">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"_Toc197702701" </w:instrText>
          </w:r>
          <w:r>
            <w:rPr>
              <w:rFonts w:hint="eastAsia" w:ascii="宋体" w:hAnsi="宋体" w:eastAsia="宋体" w:cs="宋体"/>
              <w:sz w:val="24"/>
              <w:szCs w:val="24"/>
            </w:rPr>
            <w:fldChar w:fldCharType="separate"/>
          </w:r>
          <w:r>
            <w:rPr>
              <w:rFonts w:hint="eastAsia" w:ascii="宋体" w:hAnsi="宋体" w:eastAsia="宋体" w:cs="宋体"/>
              <w:sz w:val="24"/>
              <w:szCs w:val="24"/>
            </w:rPr>
            <w:t>十、 教学计划进程表（在excel表中计算后复制粘贴进来）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_Toc197702701 \h </w:instrText>
          </w:r>
          <w:r>
            <w:rPr>
              <w:rFonts w:hint="eastAsia" w:ascii="宋体" w:hAnsi="宋体" w:eastAsia="宋体" w:cs="宋体"/>
              <w:sz w:val="24"/>
              <w:szCs w:val="24"/>
            </w:rPr>
            <w:fldChar w:fldCharType="separate"/>
          </w:r>
          <w:r>
            <w:rPr>
              <w:rFonts w:hint="eastAsia" w:ascii="宋体" w:hAnsi="宋体" w:eastAsia="宋体" w:cs="宋体"/>
              <w:sz w:val="24"/>
              <w:szCs w:val="24"/>
            </w:rPr>
            <w:t>- 4 -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FBE4F45">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"_Toc197702702" </w:instrText>
          </w:r>
          <w:r>
            <w:rPr>
              <w:rFonts w:hint="eastAsia" w:ascii="宋体" w:hAnsi="宋体" w:eastAsia="宋体" w:cs="宋体"/>
              <w:sz w:val="24"/>
              <w:szCs w:val="24"/>
            </w:rPr>
            <w:fldChar w:fldCharType="separate"/>
          </w:r>
          <w:r>
            <w:rPr>
              <w:rFonts w:hint="eastAsia" w:ascii="宋体" w:hAnsi="宋体" w:eastAsia="宋体" w:cs="宋体"/>
              <w:sz w:val="24"/>
              <w:szCs w:val="24"/>
            </w:rPr>
            <w:t>十一、 实施保障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_Toc197702702 \h </w:instrText>
          </w:r>
          <w:r>
            <w:rPr>
              <w:rFonts w:hint="eastAsia" w:ascii="宋体" w:hAnsi="宋体" w:eastAsia="宋体" w:cs="宋体"/>
              <w:sz w:val="24"/>
              <w:szCs w:val="24"/>
            </w:rPr>
            <w:fldChar w:fldCharType="separate"/>
          </w:r>
          <w:r>
            <w:rPr>
              <w:rFonts w:hint="eastAsia" w:ascii="宋体" w:hAnsi="宋体" w:eastAsia="宋体" w:cs="宋体"/>
              <w:sz w:val="24"/>
              <w:szCs w:val="24"/>
            </w:rPr>
            <w:t>- 6 -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2F3FCDB">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"_Toc197702703" </w:instrText>
          </w:r>
          <w:r>
            <w:rPr>
              <w:rFonts w:hint="eastAsia" w:ascii="宋体" w:hAnsi="宋体" w:eastAsia="宋体" w:cs="宋体"/>
              <w:sz w:val="24"/>
              <w:szCs w:val="24"/>
            </w:rPr>
            <w:fldChar w:fldCharType="separate"/>
          </w:r>
          <w:r>
            <w:rPr>
              <w:rFonts w:hint="eastAsia" w:ascii="宋体" w:hAnsi="宋体" w:eastAsia="宋体" w:cs="宋体"/>
              <w:sz w:val="24"/>
              <w:szCs w:val="24"/>
            </w:rPr>
            <w:t>（一）师资队伍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_Toc197702703 \h </w:instrText>
          </w:r>
          <w:r>
            <w:rPr>
              <w:rFonts w:hint="eastAsia" w:ascii="宋体" w:hAnsi="宋体" w:eastAsia="宋体" w:cs="宋体"/>
              <w:sz w:val="24"/>
              <w:szCs w:val="24"/>
            </w:rPr>
            <w:fldChar w:fldCharType="separate"/>
          </w:r>
          <w:r>
            <w:rPr>
              <w:rFonts w:hint="eastAsia" w:ascii="宋体" w:hAnsi="宋体" w:eastAsia="宋体" w:cs="宋体"/>
              <w:sz w:val="24"/>
              <w:szCs w:val="24"/>
            </w:rPr>
            <w:t>- 6 -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53841E2">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"_Toc197702704" </w:instrText>
          </w:r>
          <w:r>
            <w:rPr>
              <w:rFonts w:hint="eastAsia" w:ascii="宋体" w:hAnsi="宋体" w:eastAsia="宋体" w:cs="宋体"/>
              <w:sz w:val="24"/>
              <w:szCs w:val="24"/>
            </w:rPr>
            <w:fldChar w:fldCharType="separate"/>
          </w:r>
          <w:r>
            <w:rPr>
              <w:rFonts w:hint="eastAsia" w:ascii="宋体" w:hAnsi="宋体" w:eastAsia="宋体" w:cs="宋体"/>
              <w:sz w:val="24"/>
              <w:szCs w:val="24"/>
            </w:rPr>
            <w:t>（二）教学设施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_Toc197702704 \h </w:instrText>
          </w:r>
          <w:r>
            <w:rPr>
              <w:rFonts w:hint="eastAsia" w:ascii="宋体" w:hAnsi="宋体" w:eastAsia="宋体" w:cs="宋体"/>
              <w:sz w:val="24"/>
              <w:szCs w:val="24"/>
            </w:rPr>
            <w:fldChar w:fldCharType="separate"/>
          </w:r>
          <w:r>
            <w:rPr>
              <w:rFonts w:hint="eastAsia" w:ascii="宋体" w:hAnsi="宋体" w:eastAsia="宋体" w:cs="宋体"/>
              <w:sz w:val="24"/>
              <w:szCs w:val="24"/>
            </w:rPr>
            <w:t>- 6 -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A4483A0">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"_Toc197702705" </w:instrText>
          </w:r>
          <w:r>
            <w:rPr>
              <w:rFonts w:hint="eastAsia" w:ascii="宋体" w:hAnsi="宋体" w:eastAsia="宋体" w:cs="宋体"/>
              <w:sz w:val="24"/>
              <w:szCs w:val="24"/>
            </w:rPr>
            <w:fldChar w:fldCharType="separate"/>
          </w:r>
          <w:r>
            <w:rPr>
              <w:rFonts w:hint="eastAsia" w:ascii="宋体" w:hAnsi="宋体" w:eastAsia="宋体" w:cs="宋体"/>
              <w:sz w:val="24"/>
              <w:szCs w:val="24"/>
            </w:rPr>
            <w:t>（三）教学资源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_Toc197702705 \h </w:instrText>
          </w:r>
          <w:r>
            <w:rPr>
              <w:rFonts w:hint="eastAsia" w:ascii="宋体" w:hAnsi="宋体" w:eastAsia="宋体" w:cs="宋体"/>
              <w:sz w:val="24"/>
              <w:szCs w:val="24"/>
            </w:rPr>
            <w:fldChar w:fldCharType="separate"/>
          </w:r>
          <w:r>
            <w:rPr>
              <w:rFonts w:hint="eastAsia" w:ascii="宋体" w:hAnsi="宋体" w:eastAsia="宋体" w:cs="宋体"/>
              <w:sz w:val="24"/>
              <w:szCs w:val="24"/>
            </w:rPr>
            <w:t>- 7 -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17A42CE">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"_Toc197702706" </w:instrText>
          </w:r>
          <w:r>
            <w:rPr>
              <w:rFonts w:hint="eastAsia" w:ascii="宋体" w:hAnsi="宋体" w:eastAsia="宋体" w:cs="宋体"/>
              <w:sz w:val="24"/>
              <w:szCs w:val="24"/>
            </w:rPr>
            <w:fldChar w:fldCharType="separate"/>
          </w:r>
          <w:r>
            <w:rPr>
              <w:rFonts w:hint="eastAsia" w:ascii="宋体" w:hAnsi="宋体" w:eastAsia="宋体" w:cs="宋体"/>
              <w:sz w:val="24"/>
              <w:szCs w:val="24"/>
            </w:rPr>
            <w:t>十二、 质量保障和毕业要求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_Toc197702706 \h </w:instrText>
          </w:r>
          <w:r>
            <w:rPr>
              <w:rFonts w:hint="eastAsia" w:ascii="宋体" w:hAnsi="宋体" w:eastAsia="宋体" w:cs="宋体"/>
              <w:sz w:val="24"/>
              <w:szCs w:val="24"/>
            </w:rPr>
            <w:fldChar w:fldCharType="separate"/>
          </w:r>
          <w:r>
            <w:rPr>
              <w:rFonts w:hint="eastAsia" w:ascii="宋体" w:hAnsi="宋体" w:eastAsia="宋体" w:cs="宋体"/>
              <w:sz w:val="24"/>
              <w:szCs w:val="24"/>
            </w:rPr>
            <w:t>- 7 -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9826901">
          <w:pPr>
            <w:pStyle w:val="16"/>
            <w:keepNext w:val="0"/>
            <w:keepLines w:val="0"/>
            <w:pageBreakBefore w:val="0"/>
            <w:widowControl w:val="0"/>
            <w:tabs>
              <w:tab w:val="right" w:leader="dot" w:pos="9450"/>
            </w:tabs>
            <w:kinsoku/>
            <w:wordWrap/>
            <w:overflowPunct/>
            <w:topLinePunct w:val="0"/>
            <w:autoSpaceDE/>
            <w:autoSpaceDN/>
            <w:bidi w:val="0"/>
            <w:adjustRightInd/>
            <w:snapToGrid/>
            <w:spacing w:line="360" w:lineRule="auto"/>
            <w:textAlignment w:val="auto"/>
            <w:rPr>
              <w:sz w:val="24"/>
            </w:rPr>
          </w:pPr>
          <w:r>
            <w:rPr>
              <w:rFonts w:hint="eastAsia" w:ascii="宋体" w:hAnsi="宋体" w:eastAsia="宋体" w:cs="宋体"/>
              <w:sz w:val="24"/>
              <w:szCs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应用英语</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b/>
          <w:bCs/>
          <w:sz w:val="24"/>
          <w:szCs w:val="32"/>
        </w:rPr>
        <w:tab/>
      </w:r>
      <w:r>
        <w:rPr>
          <w:rFonts w:hint="eastAsia"/>
          <w:sz w:val="24"/>
          <w:szCs w:val="32"/>
        </w:rPr>
        <w:t xml:space="preserve">（ </w:t>
      </w:r>
      <w:r>
        <w:rPr>
          <w:rFonts w:hint="eastAsia"/>
          <w:sz w:val="24"/>
          <w:szCs w:val="32"/>
          <w:lang w:val="en-US" w:eastAsia="zh-CN"/>
        </w:rPr>
        <w:t>应用英语</w:t>
      </w:r>
      <w:r>
        <w:rPr>
          <w:rFonts w:hint="eastAsia"/>
          <w:sz w:val="24"/>
          <w:szCs w:val="32"/>
        </w:rPr>
        <w:t xml:space="preserve">  ）</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4"/>
        <w:gridCol w:w="6097"/>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教育与体育大类（57）</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snapToGrid w:val="0"/>
              <w:contextualSpacing/>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语言类（5702）</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6CD9BA7A">
            <w:pPr>
              <w:snapToGrid w:val="0"/>
              <w:contextualSpacing/>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商务服务业（72）</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389E2AFA">
            <w:pPr>
              <w:snapToGrid w:val="0"/>
              <w:contextualSpacing/>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翻译人员（2-10-05）、行政事务处理人员（3-01-02）</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3AC416DF">
            <w:pPr>
              <w:snapToGrid w:val="0"/>
              <w:contextualSpacing/>
              <w:rPr>
                <w:sz w:val="24"/>
              </w:rPr>
            </w:pPr>
            <w:r>
              <w:rPr>
                <w:rFonts w:hint="eastAsia" w:ascii="宋体" w:hAnsi="宋体" w:eastAsia="宋体" w:cs="宋体"/>
                <w:kern w:val="0"/>
                <w:sz w:val="21"/>
                <w:szCs w:val="21"/>
                <w:lang w:val="en-US" w:eastAsia="zh-CN" w:bidi="ar-SA"/>
              </w:rPr>
              <w:t>外贸业务员、涉外商务或行政助理、</w:t>
            </w:r>
            <w:r>
              <w:rPr>
                <w:rFonts w:hint="eastAsia" w:ascii="宋体" w:hAnsi="宋体" w:cs="宋体"/>
                <w:kern w:val="0"/>
                <w:sz w:val="21"/>
                <w:szCs w:val="21"/>
                <w:lang w:val="en-US" w:eastAsia="zh-CN" w:bidi="ar-SA"/>
              </w:rPr>
              <w:t>英语</w:t>
            </w:r>
            <w:r>
              <w:rPr>
                <w:rFonts w:hint="eastAsia" w:ascii="宋体" w:hAnsi="宋体" w:eastAsia="宋体" w:cs="宋体"/>
                <w:kern w:val="0"/>
                <w:sz w:val="21"/>
                <w:szCs w:val="21"/>
                <w:lang w:val="en-US" w:eastAsia="zh-CN" w:bidi="ar-SA"/>
              </w:rPr>
              <w:t>教</w:t>
            </w:r>
            <w:r>
              <w:rPr>
                <w:rFonts w:hint="eastAsia" w:ascii="宋体" w:hAnsi="宋体" w:cs="宋体"/>
                <w:kern w:val="0"/>
                <w:sz w:val="21"/>
                <w:szCs w:val="21"/>
                <w:lang w:val="en-US" w:eastAsia="zh-CN" w:bidi="ar-SA"/>
              </w:rPr>
              <w:t>师</w:t>
            </w:r>
            <w:r>
              <w:rPr>
                <w:rFonts w:hint="eastAsia" w:ascii="宋体" w:hAnsi="宋体" w:eastAsia="宋体" w:cs="宋体"/>
                <w:kern w:val="0"/>
                <w:sz w:val="21"/>
                <w:szCs w:val="21"/>
                <w:lang w:val="en-US" w:eastAsia="zh-CN" w:bidi="ar-SA"/>
              </w:rPr>
              <w:t>、国际商务单证员</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snapToGrid w:val="0"/>
              <w:contextualSpacing/>
              <w:rPr>
                <w:rFonts w:hint="eastAsia" w:eastAsia="宋体"/>
                <w:sz w:val="24"/>
                <w:lang w:eastAsia="zh-CN"/>
              </w:rPr>
            </w:pPr>
            <w:r>
              <w:rPr>
                <w:rFonts w:hint="eastAsia" w:ascii="宋体" w:hAnsi="宋体"/>
                <w:sz w:val="21"/>
                <w:szCs w:val="21"/>
              </w:rPr>
              <w:t>江苏省英语应用能力考试</w:t>
            </w:r>
            <w:r>
              <w:rPr>
                <w:rFonts w:hint="eastAsia" w:ascii="宋体" w:hAnsi="宋体"/>
                <w:sz w:val="21"/>
                <w:szCs w:val="21"/>
                <w:lang w:eastAsia="zh-CN"/>
              </w:rPr>
              <w:t>、</w:t>
            </w:r>
            <w:r>
              <w:rPr>
                <w:rFonts w:hint="eastAsia" w:ascii="宋体" w:hAnsi="宋体"/>
                <w:sz w:val="21"/>
                <w:szCs w:val="21"/>
                <w:lang w:val="en-US" w:eastAsia="zh-CN"/>
              </w:rPr>
              <w:t>普通话水平测试、</w:t>
            </w:r>
            <w:r>
              <w:rPr>
                <w:rFonts w:hint="eastAsia" w:ascii="宋体" w:hAnsi="宋体"/>
                <w:color w:val="auto"/>
                <w:sz w:val="21"/>
                <w:szCs w:val="21"/>
                <w:lang w:val="en-US" w:eastAsia="zh-CN"/>
              </w:rPr>
              <w:t>全国大学英语四六级</w:t>
            </w:r>
            <w:r>
              <w:rPr>
                <w:rFonts w:hint="eastAsia" w:ascii="宋体" w:hAnsi="宋体"/>
                <w:color w:val="auto"/>
                <w:sz w:val="21"/>
                <w:szCs w:val="21"/>
              </w:rPr>
              <w:t>考试</w:t>
            </w:r>
            <w:r>
              <w:rPr>
                <w:rFonts w:hint="eastAsia" w:ascii="宋体" w:hAnsi="宋体"/>
                <w:color w:val="auto"/>
                <w:sz w:val="21"/>
                <w:szCs w:val="21"/>
                <w:lang w:eastAsia="zh-CN"/>
              </w:rPr>
              <w:t>、</w:t>
            </w:r>
            <w:r>
              <w:rPr>
                <w:rFonts w:hint="eastAsia" w:ascii="宋体" w:hAnsi="宋体"/>
                <w:color w:val="auto"/>
                <w:sz w:val="21"/>
                <w:szCs w:val="21"/>
              </w:rPr>
              <w:t>全国计算机等级考试</w:t>
            </w:r>
            <w:r>
              <w:rPr>
                <w:rFonts w:hint="eastAsia" w:ascii="宋体" w:hAnsi="宋体"/>
                <w:color w:val="auto"/>
                <w:sz w:val="21"/>
                <w:szCs w:val="21"/>
                <w:lang w:eastAsia="zh-CN"/>
              </w:rPr>
              <w:t>、</w:t>
            </w:r>
            <w:r>
              <w:rPr>
                <w:rFonts w:hint="eastAsia" w:ascii="宋体" w:hAnsi="宋体"/>
                <w:sz w:val="21"/>
                <w:szCs w:val="21"/>
                <w:lang w:val="en-US" w:eastAsia="zh-CN"/>
              </w:rPr>
              <w:t>教师资格证考试</w:t>
            </w:r>
          </w:p>
        </w:tc>
      </w:tr>
    </w:tbl>
    <w:p w14:paraId="636D9326">
      <w:pPr>
        <w:pStyle w:val="3"/>
        <w:spacing w:line="360" w:lineRule="auto"/>
      </w:pPr>
      <w:bookmarkStart w:id="7" w:name="_Toc197702691"/>
      <w:r>
        <w:t>培养目标</w:t>
      </w:r>
    </w:p>
    <w:p w14:paraId="64181477">
      <w:pPr>
        <w:pStyle w:val="7"/>
        <w:pageBreakBefore w:val="0"/>
        <w:kinsoku/>
        <w:wordWrap/>
        <w:overflowPunct/>
        <w:topLinePunct w:val="0"/>
        <w:autoSpaceDE/>
        <w:autoSpaceDN/>
        <w:bidi w:val="0"/>
        <w:adjustRightInd/>
        <w:spacing w:line="360" w:lineRule="auto"/>
        <w:ind w:firstLine="480" w:firstLineChars="200"/>
        <w:rPr>
          <w:rFonts w:hint="eastAsia" w:ascii="宋体" w:hAnsi="宋体" w:cs="仿宋"/>
          <w:b w:val="0"/>
          <w:bCs w:val="0"/>
          <w:sz w:val="24"/>
          <w:szCs w:val="24"/>
        </w:rPr>
      </w:pPr>
      <w:r>
        <w:rPr>
          <w:rFonts w:hint="eastAsia" w:ascii="宋体" w:hAnsi="宋体" w:cs="仿宋"/>
          <w:b w:val="0"/>
          <w:bCs w:val="0"/>
          <w:sz w:val="24"/>
          <w:szCs w:val="24"/>
          <w:lang w:val="en-US" w:eastAsia="zh-CN"/>
        </w:rPr>
        <w:t>本专业培养思想政治坚定、德技并修，德、智、体、美、劳全面发展，适应经济建设和社会发展需要，具有诚信、合作、敬业、创新创业基本素质，具备扎实的英语基本功、宽阔的国际视野、深厚的人文素养、系统的国际商务知识与技能，具备较强的跨文化交际能力、英语应用能力、商务实践能力、创新能力以及自主学习能力，掌握基本的计算机、网络等信息技术，能够胜任商务、经贸、文化等领域工作的高素质应用型人才。</w:t>
      </w:r>
    </w:p>
    <w:bookmarkEnd w:id="7"/>
    <w:p w14:paraId="3247DAB2">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0836AD1A">
      <w:pPr>
        <w:pageBreakBefore w:val="0"/>
        <w:numPr>
          <w:ilvl w:val="0"/>
          <w:numId w:val="0"/>
        </w:numPr>
        <w:kinsoku/>
        <w:wordWrap/>
        <w:overflowPunct/>
        <w:topLinePunct w:val="0"/>
        <w:autoSpaceDE/>
        <w:autoSpaceDN/>
        <w:bidi w:val="0"/>
        <w:adjustRightInd/>
        <w:spacing w:line="360" w:lineRule="auto"/>
        <w:ind w:firstLine="480" w:firstLineChars="200"/>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本专业毕业生应在素质、知识和能力等方面达到以下要求：</w:t>
      </w:r>
      <w:bookmarkStart w:id="9" w:name="_bookmark6"/>
      <w:bookmarkEnd w:id="9"/>
    </w:p>
    <w:p w14:paraId="1BEA3346">
      <w:pPr>
        <w:pStyle w:val="7"/>
        <w:pageBreakBefore w:val="0"/>
        <w:kinsoku/>
        <w:wordWrap/>
        <w:overflowPunct/>
        <w:topLinePunct w:val="0"/>
        <w:autoSpaceDE/>
        <w:autoSpaceDN/>
        <w:bidi w:val="0"/>
        <w:adjustRightInd/>
        <w:spacing w:line="360" w:lineRule="auto"/>
        <w:ind w:firstLine="482" w:firstLineChars="200"/>
        <w:rPr>
          <w:rFonts w:hint="eastAsia" w:ascii="宋体" w:hAnsi="宋体" w:eastAsia="宋体" w:cs="仿宋"/>
          <w:b/>
          <w:bCs/>
          <w:kern w:val="2"/>
          <w:sz w:val="24"/>
          <w:szCs w:val="24"/>
          <w:lang w:val="en-US" w:eastAsia="zh-CN" w:bidi="ar-SA"/>
        </w:rPr>
      </w:pPr>
      <w:r>
        <w:rPr>
          <w:rFonts w:hint="eastAsia" w:ascii="宋体" w:hAnsi="宋体" w:eastAsia="宋体" w:cs="仿宋"/>
          <w:b/>
          <w:bCs/>
          <w:kern w:val="2"/>
          <w:sz w:val="24"/>
          <w:szCs w:val="24"/>
          <w:lang w:val="en-US" w:eastAsia="zh-CN" w:bidi="ar-SA"/>
        </w:rPr>
        <w:t>（一）素 质</w:t>
      </w:r>
    </w:p>
    <w:p w14:paraId="0D8DC264">
      <w:pPr>
        <w:pageBreakBefore w:val="0"/>
        <w:kinsoku/>
        <w:wordWrap/>
        <w:overflowPunct/>
        <w:topLinePunct w:val="0"/>
        <w:autoSpaceDE/>
        <w:autoSpaceDN/>
        <w:bidi w:val="0"/>
        <w:adjustRightInd/>
        <w:spacing w:line="360" w:lineRule="auto"/>
        <w:ind w:firstLine="482" w:firstLineChars="200"/>
        <w:rPr>
          <w:rFonts w:ascii="宋体" w:hAnsi="宋体" w:cs="仿宋"/>
          <w:b/>
          <w:bCs/>
          <w:sz w:val="24"/>
        </w:rPr>
      </w:pPr>
      <w:r>
        <w:rPr>
          <w:rFonts w:ascii="宋体" w:hAnsi="宋体" w:cs="仿宋"/>
          <w:b/>
          <w:bCs/>
          <w:sz w:val="24"/>
        </w:rPr>
        <w:t>1.思想政治素质</w:t>
      </w:r>
    </w:p>
    <w:p w14:paraId="618F46EC">
      <w:pPr>
        <w:pStyle w:val="7"/>
        <w:pageBreakBefore w:val="0"/>
        <w:kinsoku/>
        <w:wordWrap/>
        <w:overflowPunct/>
        <w:topLinePunct w:val="0"/>
        <w:autoSpaceDE/>
        <w:autoSpaceDN/>
        <w:bidi w:val="0"/>
        <w:adjustRightInd/>
        <w:spacing w:line="360" w:lineRule="auto"/>
        <w:ind w:firstLine="480" w:firstLineChars="200"/>
        <w:rPr>
          <w:rFonts w:hint="eastAsia" w:ascii="宋体" w:hAnsi="宋体" w:cs="仿宋"/>
          <w:b w:val="0"/>
          <w:bCs w:val="0"/>
          <w:sz w:val="24"/>
          <w:szCs w:val="24"/>
          <w:lang w:val="en-US" w:eastAsia="zh-CN"/>
        </w:rPr>
      </w:pPr>
      <w:r>
        <w:rPr>
          <w:rFonts w:hint="eastAsia" w:ascii="宋体" w:hAnsi="宋体" w:cs="仿宋"/>
          <w:b w:val="0"/>
          <w:bCs w:val="0"/>
          <w:sz w:val="24"/>
          <w:szCs w:val="24"/>
          <w:lang w:val="en-US" w:eastAsia="zh-CN"/>
        </w:rPr>
        <w:t>（1）坚定拥护中国共产党领导和我国社会主义制度，在习近平新时代中国特色社会主义思想指引下，践行社会主义核心价值观，具有深厚的爱国情感和中华民族自豪感；</w:t>
      </w:r>
    </w:p>
    <w:p w14:paraId="70DE3546">
      <w:pPr>
        <w:pStyle w:val="7"/>
        <w:pageBreakBefore w:val="0"/>
        <w:kinsoku/>
        <w:wordWrap/>
        <w:overflowPunct/>
        <w:topLinePunct w:val="0"/>
        <w:autoSpaceDE/>
        <w:autoSpaceDN/>
        <w:bidi w:val="0"/>
        <w:adjustRightInd/>
        <w:spacing w:line="360" w:lineRule="auto"/>
        <w:ind w:firstLine="480" w:firstLineChars="200"/>
        <w:rPr>
          <w:rFonts w:hint="eastAsia" w:ascii="宋体" w:hAnsi="宋体" w:cs="仿宋"/>
          <w:b w:val="0"/>
          <w:bCs w:val="0"/>
          <w:sz w:val="24"/>
          <w:szCs w:val="24"/>
          <w:lang w:val="en-US" w:eastAsia="zh-CN"/>
        </w:rPr>
      </w:pPr>
      <w:r>
        <w:rPr>
          <w:rFonts w:hint="eastAsia" w:ascii="宋体" w:hAnsi="宋体" w:cs="仿宋"/>
          <w:b w:val="0"/>
          <w:bCs w:val="0"/>
          <w:sz w:val="24"/>
          <w:szCs w:val="24"/>
          <w:lang w:val="en-US" w:eastAsia="zh-CN"/>
        </w:rPr>
        <w:t>（2）崇尚宪法、遵法守纪、崇德向善、诚实守信、尊重生命、热爱劳动，履行道德准则和行为规范，具有社会责任感和社会参与意识。</w:t>
      </w:r>
    </w:p>
    <w:p w14:paraId="02995FEF">
      <w:pPr>
        <w:pageBreakBefore w:val="0"/>
        <w:kinsoku/>
        <w:wordWrap/>
        <w:overflowPunct/>
        <w:topLinePunct w:val="0"/>
        <w:autoSpaceDE/>
        <w:autoSpaceDN/>
        <w:bidi w:val="0"/>
        <w:adjustRightInd/>
        <w:spacing w:line="360" w:lineRule="auto"/>
        <w:ind w:firstLine="482" w:firstLineChars="200"/>
        <w:rPr>
          <w:rFonts w:ascii="宋体" w:hAnsi="宋体" w:cs="仿宋"/>
          <w:b/>
          <w:bCs/>
          <w:sz w:val="24"/>
        </w:rPr>
      </w:pPr>
      <w:r>
        <w:rPr>
          <w:rFonts w:ascii="宋体" w:hAnsi="宋体" w:cs="仿宋"/>
          <w:b/>
          <w:bCs/>
          <w:sz w:val="24"/>
        </w:rPr>
        <w:t>2.文化素质</w:t>
      </w:r>
    </w:p>
    <w:p w14:paraId="2FA1E5A3">
      <w:pPr>
        <w:pStyle w:val="7"/>
        <w:pageBreakBefore w:val="0"/>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lang w:eastAsia="zh-CN"/>
        </w:rPr>
      </w:pPr>
      <w:r>
        <w:rPr>
          <w:rFonts w:ascii="宋体" w:hAnsi="宋体" w:eastAsia="宋体" w:cs="宋体"/>
          <w:color w:val="auto"/>
          <w:sz w:val="24"/>
          <w:szCs w:val="24"/>
        </w:rPr>
        <w:t>具有扎实的语言、科技、审美、信息技术、人文与社会素养</w:t>
      </w:r>
      <w:r>
        <w:rPr>
          <w:rFonts w:ascii="宋体" w:hAnsi="宋体" w:eastAsia="宋体" w:cs="宋体"/>
          <w:sz w:val="24"/>
          <w:szCs w:val="24"/>
        </w:rPr>
        <w:t>，具有大数据、人工智能背景下的互联网思维、跨界融合思维、哲学思辨思维，提升自身文化素质的多元性，与区域文化、世界文化及企业文化融合，开放且包容</w:t>
      </w:r>
      <w:r>
        <w:rPr>
          <w:rFonts w:hint="eastAsia" w:ascii="宋体" w:hAnsi="宋体" w:cs="宋体"/>
          <w:sz w:val="24"/>
          <w:szCs w:val="24"/>
          <w:lang w:eastAsia="zh-CN"/>
        </w:rPr>
        <w:t>。</w:t>
      </w:r>
    </w:p>
    <w:p w14:paraId="5BE34475">
      <w:pPr>
        <w:pageBreakBefore w:val="0"/>
        <w:kinsoku/>
        <w:wordWrap/>
        <w:overflowPunct/>
        <w:topLinePunct w:val="0"/>
        <w:autoSpaceDE/>
        <w:autoSpaceDN/>
        <w:bidi w:val="0"/>
        <w:adjustRightInd/>
        <w:spacing w:line="360" w:lineRule="auto"/>
        <w:ind w:firstLine="482" w:firstLineChars="200"/>
        <w:rPr>
          <w:rFonts w:ascii="宋体" w:hAnsi="宋体" w:cs="仿宋"/>
          <w:b/>
          <w:bCs/>
          <w:sz w:val="24"/>
        </w:rPr>
      </w:pPr>
      <w:r>
        <w:rPr>
          <w:rFonts w:ascii="宋体" w:hAnsi="宋体" w:cs="仿宋"/>
          <w:b/>
          <w:bCs/>
          <w:sz w:val="24"/>
        </w:rPr>
        <w:t>3.职业素质</w:t>
      </w:r>
    </w:p>
    <w:p w14:paraId="52B33976">
      <w:pPr>
        <w:pStyle w:val="7"/>
        <w:pageBreakBefore w:val="0"/>
        <w:kinsoku/>
        <w:wordWrap/>
        <w:overflowPunct/>
        <w:topLinePunct w:val="0"/>
        <w:autoSpaceDE/>
        <w:autoSpaceDN/>
        <w:bidi w:val="0"/>
        <w:adjustRightInd/>
        <w:spacing w:line="360" w:lineRule="auto"/>
        <w:ind w:firstLine="480" w:firstLineChars="200"/>
        <w:rPr>
          <w:rFonts w:hint="eastAsia" w:ascii="宋体" w:hAnsi="宋体" w:eastAsia="宋体" w:cs="仿宋"/>
          <w:color w:val="auto"/>
          <w:sz w:val="24"/>
          <w:lang w:eastAsia="zh-CN"/>
        </w:rPr>
      </w:pPr>
      <w:r>
        <w:rPr>
          <w:rFonts w:ascii="宋体" w:hAnsi="宋体" w:cs="仿宋"/>
          <w:color w:val="auto"/>
          <w:sz w:val="24"/>
        </w:rPr>
        <w:t>（1）养成良好的职业道德习惯，具备爱岗敬业、诚实守信、办事公道、服务群众、奉献社会的精神和严谨求实的作风。遵守制度规范、形成岗位安全意识和积极追求产品卓越等职业习惯，形成职业精神</w:t>
      </w:r>
      <w:r>
        <w:rPr>
          <w:rFonts w:hint="eastAsia" w:ascii="宋体" w:hAnsi="宋体" w:cs="仿宋"/>
          <w:color w:val="auto"/>
          <w:sz w:val="24"/>
          <w:lang w:eastAsia="zh-CN"/>
        </w:rPr>
        <w:t>；</w:t>
      </w:r>
    </w:p>
    <w:p w14:paraId="17D12667">
      <w:pPr>
        <w:pStyle w:val="7"/>
        <w:pageBreakBefore w:val="0"/>
        <w:kinsoku/>
        <w:wordWrap/>
        <w:overflowPunct/>
        <w:topLinePunct w:val="0"/>
        <w:autoSpaceDE/>
        <w:autoSpaceDN/>
        <w:bidi w:val="0"/>
        <w:adjustRightInd/>
        <w:spacing w:line="360" w:lineRule="auto"/>
        <w:ind w:firstLine="480" w:firstLineChars="200"/>
        <w:rPr>
          <w:rFonts w:hint="eastAsia" w:ascii="宋体" w:hAnsi="宋体" w:eastAsia="宋体" w:cs="仿宋"/>
          <w:sz w:val="24"/>
          <w:lang w:eastAsia="zh-CN"/>
        </w:rPr>
      </w:pPr>
      <w:r>
        <w:rPr>
          <w:rFonts w:ascii="宋体" w:hAnsi="宋体" w:cs="仿宋"/>
          <w:color w:val="auto"/>
          <w:sz w:val="24"/>
        </w:rPr>
        <w:t>（2）具有创新精神、创业意识，能够综合运用已有的知识、信息、技能和方法，提出</w:t>
      </w:r>
      <w:r>
        <w:rPr>
          <w:rFonts w:ascii="宋体" w:hAnsi="宋体" w:cs="仿宋"/>
          <w:sz w:val="24"/>
        </w:rPr>
        <w:t>新方法、新观点的思维能力和进行发明创造、改革、革新的意志、信心、勇气和智慧</w:t>
      </w:r>
      <w:r>
        <w:rPr>
          <w:rFonts w:hint="eastAsia" w:ascii="宋体" w:hAnsi="宋体" w:cs="仿宋"/>
          <w:sz w:val="24"/>
          <w:lang w:eastAsia="zh-CN"/>
        </w:rPr>
        <w:t>；</w:t>
      </w:r>
    </w:p>
    <w:p w14:paraId="4A9324CC">
      <w:pPr>
        <w:pStyle w:val="7"/>
        <w:pageBreakBefore w:val="0"/>
        <w:kinsoku/>
        <w:wordWrap/>
        <w:overflowPunct/>
        <w:topLinePunct w:val="0"/>
        <w:autoSpaceDE/>
        <w:autoSpaceDN/>
        <w:bidi w:val="0"/>
        <w:adjustRightInd/>
        <w:spacing w:line="360" w:lineRule="auto"/>
        <w:ind w:firstLine="480" w:firstLineChars="200"/>
        <w:rPr>
          <w:rFonts w:hint="eastAsia" w:ascii="宋体" w:hAnsi="宋体" w:eastAsia="宋体" w:cs="仿宋"/>
          <w:sz w:val="24"/>
          <w:lang w:eastAsia="zh-CN"/>
        </w:rPr>
      </w:pPr>
      <w:r>
        <w:rPr>
          <w:rFonts w:ascii="宋体" w:hAnsi="宋体" w:cs="仿宋"/>
          <w:sz w:val="24"/>
        </w:rPr>
        <w:t>（3）具有信息收集处理和分析等素养，具备较强的市场意识、成本意识、质量意识、环保意识、安全意识、信息素养、工匠精神、创新思维、全球视野和市场洞察力，具有系统解决问题的意识与能力</w:t>
      </w:r>
      <w:r>
        <w:rPr>
          <w:rFonts w:hint="eastAsia" w:ascii="宋体" w:hAnsi="宋体" w:cs="仿宋"/>
          <w:sz w:val="24"/>
          <w:lang w:eastAsia="zh-CN"/>
        </w:rPr>
        <w:t>；</w:t>
      </w:r>
    </w:p>
    <w:p w14:paraId="5919418B">
      <w:pPr>
        <w:pStyle w:val="7"/>
        <w:pageBreakBefore w:val="0"/>
        <w:kinsoku/>
        <w:wordWrap/>
        <w:overflowPunct/>
        <w:topLinePunct w:val="0"/>
        <w:autoSpaceDE/>
        <w:autoSpaceDN/>
        <w:bidi w:val="0"/>
        <w:adjustRightInd/>
        <w:spacing w:line="360" w:lineRule="auto"/>
        <w:ind w:firstLine="480" w:firstLineChars="200"/>
        <w:rPr>
          <w:rFonts w:ascii="宋体" w:hAnsi="宋体" w:cs="仿宋"/>
          <w:sz w:val="24"/>
        </w:rPr>
      </w:pPr>
      <w:r>
        <w:rPr>
          <w:rFonts w:ascii="宋体" w:hAnsi="宋体" w:cs="仿宋"/>
          <w:sz w:val="24"/>
        </w:rPr>
        <w:t>（4）尊重劳动、热爱劳动、崇尚劳动，能吃苦耐劳，树立正确的劳动价值观念，养成勤俭、奋斗、创造、奉献的劳动精神。</w:t>
      </w:r>
    </w:p>
    <w:p w14:paraId="5AE5CE0A">
      <w:pPr>
        <w:pageBreakBefore w:val="0"/>
        <w:kinsoku/>
        <w:wordWrap/>
        <w:overflowPunct/>
        <w:topLinePunct w:val="0"/>
        <w:autoSpaceDE/>
        <w:autoSpaceDN/>
        <w:bidi w:val="0"/>
        <w:adjustRightInd/>
        <w:spacing w:line="360" w:lineRule="auto"/>
        <w:ind w:firstLine="482" w:firstLineChars="200"/>
        <w:rPr>
          <w:rFonts w:ascii="宋体" w:hAnsi="宋体" w:cs="仿宋"/>
          <w:b/>
          <w:bCs/>
          <w:sz w:val="24"/>
        </w:rPr>
      </w:pPr>
      <w:r>
        <w:rPr>
          <w:rFonts w:ascii="宋体" w:hAnsi="宋体" w:cs="仿宋"/>
          <w:b/>
          <w:bCs/>
          <w:sz w:val="24"/>
        </w:rPr>
        <w:t>4.身心素质</w:t>
      </w:r>
    </w:p>
    <w:p w14:paraId="657CC0BE">
      <w:pPr>
        <w:pStyle w:val="7"/>
        <w:pageBreakBefore w:val="0"/>
        <w:kinsoku/>
        <w:wordWrap/>
        <w:overflowPunct/>
        <w:topLinePunct w:val="0"/>
        <w:autoSpaceDE/>
        <w:autoSpaceDN/>
        <w:bidi w:val="0"/>
        <w:adjustRightInd/>
        <w:spacing w:line="360" w:lineRule="auto"/>
        <w:ind w:firstLine="480" w:firstLineChars="200"/>
        <w:rPr>
          <w:rFonts w:ascii="宋体" w:hAnsi="宋体" w:cs="仿宋"/>
          <w:sz w:val="24"/>
        </w:rPr>
      </w:pPr>
      <w:bookmarkStart w:id="10" w:name="_bookmark7"/>
      <w:bookmarkEnd w:id="10"/>
      <w:r>
        <w:rPr>
          <w:rFonts w:ascii="宋体" w:hAnsi="宋体" w:cs="仿宋"/>
          <w:color w:val="auto"/>
          <w:sz w:val="24"/>
        </w:rPr>
        <w:t>具有健康的体魄、积极的心态、良好的人际关系和健全的人格，具有环境适应能力，</w:t>
      </w:r>
      <w:r>
        <w:rPr>
          <w:rFonts w:ascii="宋体" w:hAnsi="宋体" w:cs="仿宋"/>
          <w:sz w:val="24"/>
        </w:rPr>
        <w:t>具有较强的抗挫和抗压能力，能够进行情绪管理。具有体育意识，奠定终身体育锻炼的思想，具有自觉性和自制力，养成良好的意志品质和持之以恒的精神。</w:t>
      </w:r>
    </w:p>
    <w:p w14:paraId="69F27BFF">
      <w:pPr>
        <w:pStyle w:val="7"/>
        <w:pageBreakBefore w:val="0"/>
        <w:kinsoku/>
        <w:wordWrap/>
        <w:overflowPunct/>
        <w:topLinePunct w:val="0"/>
        <w:autoSpaceDE/>
        <w:autoSpaceDN/>
        <w:bidi w:val="0"/>
        <w:adjustRightInd/>
        <w:spacing w:line="360" w:lineRule="auto"/>
        <w:ind w:firstLine="482" w:firstLineChars="200"/>
        <w:rPr>
          <w:rFonts w:hint="eastAsia" w:ascii="宋体" w:hAnsi="宋体" w:eastAsia="宋体" w:cs="仿宋"/>
          <w:b/>
          <w:bCs/>
          <w:kern w:val="2"/>
          <w:sz w:val="24"/>
          <w:szCs w:val="24"/>
          <w:lang w:val="en-US" w:eastAsia="zh-CN" w:bidi="ar-SA"/>
        </w:rPr>
      </w:pPr>
      <w:r>
        <w:rPr>
          <w:rFonts w:hint="eastAsia" w:ascii="宋体" w:hAnsi="宋体" w:eastAsia="宋体" w:cs="仿宋"/>
          <w:b/>
          <w:bCs/>
          <w:kern w:val="2"/>
          <w:sz w:val="24"/>
          <w:szCs w:val="24"/>
          <w:lang w:val="en-US" w:eastAsia="zh-CN" w:bidi="ar-SA"/>
        </w:rPr>
        <w:t>（二）知 识</w:t>
      </w:r>
    </w:p>
    <w:p w14:paraId="434D2D69">
      <w:pPr>
        <w:pageBreakBefore w:val="0"/>
        <w:kinsoku/>
        <w:wordWrap/>
        <w:overflowPunct/>
        <w:topLinePunct w:val="0"/>
        <w:autoSpaceDE/>
        <w:autoSpaceDN/>
        <w:bidi w:val="0"/>
        <w:adjustRightInd/>
        <w:spacing w:line="360" w:lineRule="auto"/>
        <w:ind w:firstLine="482" w:firstLineChars="200"/>
        <w:rPr>
          <w:rFonts w:ascii="宋体" w:hAnsi="宋体" w:cs="仿宋"/>
          <w:b/>
          <w:bCs/>
          <w:sz w:val="24"/>
        </w:rPr>
      </w:pPr>
      <w:r>
        <w:rPr>
          <w:rFonts w:ascii="宋体" w:hAnsi="宋体" w:cs="仿宋"/>
          <w:b/>
          <w:bCs/>
          <w:sz w:val="24"/>
        </w:rPr>
        <w:t>1.通识知识</w:t>
      </w:r>
    </w:p>
    <w:p w14:paraId="509EAC68">
      <w:pPr>
        <w:pStyle w:val="7"/>
        <w:pageBreakBefore w:val="0"/>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ascii="宋体" w:hAnsi="宋体" w:eastAsia="宋体" w:cs="宋体"/>
          <w:sz w:val="24"/>
          <w:szCs w:val="24"/>
        </w:rPr>
        <w:t>学习和理解马克思列宁主义、毛泽东思想、邓小平理论、“三个代表”重要思想、科学发展观、习近平新时代中国特色社会主义思想的基本观点、核心内涵和实践要求</w:t>
      </w:r>
      <w:r>
        <w:rPr>
          <w:rFonts w:hint="eastAsia" w:ascii="宋体" w:hAnsi="宋体" w:cs="宋体"/>
          <w:sz w:val="24"/>
          <w:szCs w:val="24"/>
          <w:lang w:eastAsia="zh-CN"/>
        </w:rPr>
        <w:t>；</w:t>
      </w:r>
    </w:p>
    <w:p w14:paraId="6CC29430">
      <w:pPr>
        <w:pStyle w:val="7"/>
        <w:pageBreakBefore w:val="0"/>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rPr>
        <w:t>（2）熟悉与本专业相关的法律法规以及环境保护、安全消防等知识</w:t>
      </w:r>
      <w:r>
        <w:rPr>
          <w:rFonts w:hint="eastAsia" w:ascii="宋体" w:hAnsi="宋体" w:cs="宋体"/>
          <w:sz w:val="24"/>
          <w:szCs w:val="24"/>
          <w:lang w:eastAsia="zh-CN"/>
        </w:rPr>
        <w:t>；</w:t>
      </w:r>
    </w:p>
    <w:p w14:paraId="5FBFFFBF">
      <w:pPr>
        <w:pStyle w:val="7"/>
        <w:pageBreakBefore w:val="0"/>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掌握普通话、</w:t>
      </w:r>
      <w:r>
        <w:rPr>
          <w:rFonts w:ascii="宋体" w:hAnsi="宋体" w:eastAsia="宋体" w:cs="宋体"/>
          <w:sz w:val="24"/>
          <w:szCs w:val="24"/>
        </w:rPr>
        <w:t>计算机应用等公共基础知识</w:t>
      </w:r>
      <w:r>
        <w:rPr>
          <w:rFonts w:hint="eastAsia" w:ascii="宋体" w:hAnsi="宋体" w:cs="宋体"/>
          <w:sz w:val="24"/>
          <w:szCs w:val="24"/>
          <w:lang w:eastAsia="zh-CN"/>
        </w:rPr>
        <w:t>；</w:t>
      </w:r>
    </w:p>
    <w:p w14:paraId="5D95B033">
      <w:pPr>
        <w:pStyle w:val="7"/>
        <w:pageBreakBefore w:val="0"/>
        <w:kinsoku/>
        <w:wordWrap/>
        <w:overflowPunct/>
        <w:topLinePunct w:val="0"/>
        <w:autoSpaceDE/>
        <w:autoSpaceDN/>
        <w:bidi w:val="0"/>
        <w:adjustRightInd/>
        <w:spacing w:line="360" w:lineRule="auto"/>
        <w:ind w:firstLine="480" w:firstLineChars="200"/>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ascii="宋体" w:hAnsi="宋体" w:eastAsia="宋体" w:cs="宋体"/>
          <w:sz w:val="24"/>
          <w:szCs w:val="24"/>
        </w:rPr>
        <w:t>掌握创新创业等基本理论和方法。</w:t>
      </w:r>
    </w:p>
    <w:p w14:paraId="110F30AF">
      <w:pPr>
        <w:pageBreakBefore w:val="0"/>
        <w:kinsoku/>
        <w:wordWrap/>
        <w:overflowPunct/>
        <w:topLinePunct w:val="0"/>
        <w:autoSpaceDE/>
        <w:autoSpaceDN/>
        <w:bidi w:val="0"/>
        <w:adjustRightInd/>
        <w:spacing w:line="360" w:lineRule="auto"/>
        <w:ind w:firstLine="482" w:firstLineChars="200"/>
        <w:rPr>
          <w:rFonts w:ascii="宋体" w:hAnsi="宋体" w:cs="仿宋"/>
          <w:b/>
          <w:bCs/>
          <w:sz w:val="24"/>
        </w:rPr>
      </w:pPr>
      <w:r>
        <w:rPr>
          <w:rFonts w:ascii="宋体" w:hAnsi="宋体" w:cs="仿宋"/>
          <w:b/>
          <w:bCs/>
          <w:sz w:val="24"/>
        </w:rPr>
        <w:t>2.专业知识</w:t>
      </w:r>
    </w:p>
    <w:p w14:paraId="1C453F16">
      <w:pPr>
        <w:pStyle w:val="7"/>
        <w:pageBreakBefore w:val="0"/>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具备扎实的英语语言知识：语音语调正确，语法概念清楚，掌握5000-6000个单词的基本用法（包括专业词汇），能够阅读理解各类英语报刊文章、熟悉常用的英语文体、函电及其它应用文的写作要求和技巧，掌握日常会话、交流及商务洽谈所需的句型、表述方法和交流策略，了解中英语言的基本差异并掌握中英互译的基本方法；</w:t>
      </w:r>
    </w:p>
    <w:p w14:paraId="0E3649C5">
      <w:pPr>
        <w:pStyle w:val="7"/>
        <w:pageBreakBefore w:val="0"/>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（2）具备</w:t>
      </w:r>
      <w:r>
        <w:rPr>
          <w:rFonts w:hint="eastAsia" w:ascii="宋体" w:hAnsi="宋体" w:eastAsia="宋体" w:cs="宋体"/>
          <w:sz w:val="24"/>
          <w:szCs w:val="24"/>
          <w:lang w:val="en-US" w:eastAsia="zh-CN"/>
        </w:rPr>
        <w:t>应用</w:t>
      </w:r>
      <w:r>
        <w:rPr>
          <w:rFonts w:hint="eastAsia" w:ascii="宋体" w:hAnsi="宋体" w:eastAsia="宋体" w:cs="宋体"/>
          <w:sz w:val="24"/>
          <w:szCs w:val="24"/>
        </w:rPr>
        <w:t>英语专业所需要的专业知识：商务英语写作、外贸函电、商务英语翻译理论与实践、国际贸易与进出口实务和国际商务谈判技巧等方面的知识；</w:t>
      </w:r>
    </w:p>
    <w:p w14:paraId="293F6069">
      <w:pPr>
        <w:pStyle w:val="7"/>
        <w:pageBreakBefore w:val="0"/>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（3）具备</w:t>
      </w:r>
      <w:r>
        <w:rPr>
          <w:rFonts w:hint="eastAsia" w:ascii="宋体" w:hAnsi="宋体" w:eastAsia="宋体" w:cs="宋体"/>
          <w:sz w:val="24"/>
          <w:szCs w:val="24"/>
          <w:lang w:val="en-US" w:eastAsia="zh-CN"/>
        </w:rPr>
        <w:t>应用</w:t>
      </w:r>
      <w:r>
        <w:rPr>
          <w:rFonts w:hint="eastAsia" w:ascii="宋体" w:hAnsi="宋体" w:eastAsia="宋体" w:cs="宋体"/>
          <w:sz w:val="24"/>
          <w:szCs w:val="24"/>
        </w:rPr>
        <w:t>英语专业所需要的相关知识：国际市场营销、国际贸易实务和跨境电商实务等方面的相关知识；</w:t>
      </w:r>
    </w:p>
    <w:p w14:paraId="3339D6C0">
      <w:pPr>
        <w:pStyle w:val="7"/>
        <w:pageBreakBefore w:val="0"/>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（4）具备较强的跨文化交际能力和较高的人文素养，如对文化差异的理解、适应和沟通等能力，能自如地运用英语进行跨文化商务活动。</w:t>
      </w:r>
    </w:p>
    <w:p w14:paraId="1F4B07C9">
      <w:pPr>
        <w:pStyle w:val="7"/>
        <w:pageBreakBefore w:val="0"/>
        <w:kinsoku/>
        <w:wordWrap/>
        <w:overflowPunct/>
        <w:topLinePunct w:val="0"/>
        <w:autoSpaceDE/>
        <w:autoSpaceDN/>
        <w:bidi w:val="0"/>
        <w:adjustRightInd/>
        <w:spacing w:line="360" w:lineRule="auto"/>
        <w:ind w:firstLine="482" w:firstLineChars="200"/>
        <w:rPr>
          <w:rFonts w:hint="eastAsia" w:ascii="宋体" w:hAnsi="宋体" w:eastAsia="宋体" w:cs="仿宋"/>
          <w:b/>
          <w:bCs/>
          <w:kern w:val="2"/>
          <w:sz w:val="24"/>
          <w:szCs w:val="24"/>
          <w:lang w:val="en-US" w:eastAsia="zh-CN" w:bidi="ar-SA"/>
        </w:rPr>
      </w:pPr>
      <w:r>
        <w:rPr>
          <w:rFonts w:hint="eastAsia" w:ascii="宋体" w:hAnsi="宋体" w:eastAsia="宋体" w:cs="仿宋"/>
          <w:b/>
          <w:bCs/>
          <w:kern w:val="2"/>
          <w:sz w:val="24"/>
          <w:szCs w:val="24"/>
          <w:lang w:val="en-US" w:eastAsia="zh-CN" w:bidi="ar-SA"/>
        </w:rPr>
        <w:t>（三）能 力</w:t>
      </w:r>
    </w:p>
    <w:p w14:paraId="547963BD">
      <w:pPr>
        <w:pStyle w:val="7"/>
        <w:ind w:firstLine="480" w:firstLineChars="200"/>
        <w:rPr>
          <w:rFonts w:hint="eastAsia" w:ascii="宋体" w:hAnsi="宋体" w:cs="仿宋"/>
          <w:sz w:val="24"/>
        </w:rPr>
      </w:pPr>
      <w:bookmarkStart w:id="11" w:name="_bookmark8"/>
      <w:bookmarkEnd w:id="11"/>
      <w:r>
        <w:rPr>
          <w:rFonts w:hint="eastAsia" w:ascii="宋体" w:hAnsi="宋体" w:cs="仿宋"/>
          <w:sz w:val="24"/>
        </w:rPr>
        <w:t>（1）具有健全的人格、健康的体魄、良好的心理素质，具备较高的审美能力、良好的生活习惯；</w:t>
      </w:r>
    </w:p>
    <w:p w14:paraId="69957702">
      <w:pPr>
        <w:pStyle w:val="7"/>
        <w:ind w:firstLine="480" w:firstLineChars="200"/>
        <w:rPr>
          <w:rFonts w:hint="eastAsia" w:ascii="宋体" w:hAnsi="宋体" w:cs="仿宋"/>
          <w:sz w:val="24"/>
        </w:rPr>
      </w:pPr>
      <w:r>
        <w:rPr>
          <w:rFonts w:hint="eastAsia" w:ascii="宋体" w:hAnsi="宋体" w:cs="仿宋"/>
          <w:sz w:val="24"/>
        </w:rPr>
        <w:t>（2）具有较强的团队合作能力、跨文化能力、应变能力，适应社会发展需求；</w:t>
      </w:r>
    </w:p>
    <w:p w14:paraId="08235693">
      <w:pPr>
        <w:pStyle w:val="7"/>
        <w:ind w:firstLine="480" w:firstLineChars="200"/>
        <w:rPr>
          <w:color w:val="auto"/>
        </w:rPr>
      </w:pPr>
      <w:r>
        <w:rPr>
          <w:rFonts w:hint="eastAsia" w:ascii="宋体" w:hAnsi="宋体" w:cs="仿宋"/>
          <w:color w:val="auto"/>
          <w:sz w:val="24"/>
        </w:rPr>
        <w:t>（3）具有综合应用所学专业知识与方法分析解决实际问题的能力</w:t>
      </w:r>
      <w:r>
        <w:rPr>
          <w:rFonts w:hint="eastAsia" w:ascii="宋体" w:hAnsi="宋体" w:cs="仿宋"/>
          <w:color w:val="auto"/>
          <w:sz w:val="24"/>
          <w:lang w:eastAsia="zh-CN"/>
        </w:rPr>
        <w:t>。</w:t>
      </w:r>
    </w:p>
    <w:p w14:paraId="0B7E39B8">
      <w:pPr>
        <w:pageBreakBefore w:val="0"/>
        <w:kinsoku/>
        <w:wordWrap/>
        <w:overflowPunct/>
        <w:topLinePunct w:val="0"/>
        <w:autoSpaceDE/>
        <w:autoSpaceDN/>
        <w:bidi w:val="0"/>
        <w:adjustRightInd/>
        <w:spacing w:line="360" w:lineRule="auto"/>
        <w:ind w:firstLine="482" w:firstLineChars="200"/>
        <w:rPr>
          <w:rFonts w:ascii="宋体" w:hAnsi="宋体" w:cs="仿宋"/>
          <w:b/>
          <w:bCs/>
          <w:sz w:val="24"/>
        </w:rPr>
      </w:pPr>
      <w:r>
        <w:rPr>
          <w:rFonts w:ascii="宋体" w:hAnsi="宋体" w:cs="仿宋"/>
          <w:b/>
          <w:bCs/>
          <w:sz w:val="24"/>
        </w:rPr>
        <w:t>1.专业技术能力</w:t>
      </w:r>
    </w:p>
    <w:p w14:paraId="7E24B920">
      <w:pPr>
        <w:pStyle w:val="7"/>
        <w:ind w:firstLine="480" w:firstLineChars="200"/>
        <w:rPr>
          <w:rFonts w:hint="eastAsia" w:ascii="宋体" w:hAnsi="宋体" w:cs="仿宋"/>
          <w:sz w:val="24"/>
          <w:lang w:val="en-US" w:eastAsia="zh-CN"/>
        </w:rPr>
      </w:pPr>
      <w:r>
        <w:rPr>
          <w:rFonts w:hint="eastAsia" w:ascii="宋体" w:hAnsi="宋体" w:cs="仿宋"/>
          <w:sz w:val="24"/>
          <w:lang w:val="en-US" w:eastAsia="zh-CN"/>
        </w:rPr>
        <w:t>（1）具备英语听、说、读、写、译五项基本语言技能；</w:t>
      </w:r>
    </w:p>
    <w:p w14:paraId="772D9AF9">
      <w:pPr>
        <w:pStyle w:val="7"/>
        <w:ind w:firstLine="480" w:firstLineChars="200"/>
        <w:rPr>
          <w:rFonts w:hint="eastAsia" w:ascii="宋体" w:hAnsi="宋体" w:cs="仿宋"/>
          <w:color w:val="auto"/>
          <w:sz w:val="24"/>
          <w:lang w:val="en-US" w:eastAsia="zh-CN"/>
        </w:rPr>
      </w:pPr>
      <w:r>
        <w:rPr>
          <w:rFonts w:hint="eastAsia" w:ascii="宋体" w:hAnsi="宋体" w:cs="仿宋"/>
          <w:color w:val="auto"/>
          <w:sz w:val="24"/>
          <w:lang w:val="en-US" w:eastAsia="zh-CN"/>
        </w:rPr>
        <w:t>（2）具有综合应用所学专业知识与方法分析解决实际问题的能力。</w:t>
      </w:r>
    </w:p>
    <w:p w14:paraId="7250A384">
      <w:pPr>
        <w:pageBreakBefore w:val="0"/>
        <w:kinsoku/>
        <w:wordWrap/>
        <w:overflowPunct/>
        <w:topLinePunct w:val="0"/>
        <w:autoSpaceDE/>
        <w:autoSpaceDN/>
        <w:bidi w:val="0"/>
        <w:adjustRightInd/>
        <w:spacing w:line="360" w:lineRule="auto"/>
        <w:ind w:firstLine="482" w:firstLineChars="200"/>
        <w:rPr>
          <w:rFonts w:ascii="宋体" w:hAnsi="宋体" w:cs="仿宋"/>
          <w:b/>
          <w:bCs/>
          <w:sz w:val="24"/>
        </w:rPr>
      </w:pPr>
      <w:r>
        <w:rPr>
          <w:rFonts w:hint="eastAsia" w:ascii="宋体" w:hAnsi="宋体" w:cs="仿宋"/>
          <w:b/>
          <w:bCs/>
          <w:sz w:val="24"/>
          <w:lang w:val="en-US" w:eastAsia="zh-CN"/>
        </w:rPr>
        <w:t>2.</w:t>
      </w:r>
      <w:r>
        <w:rPr>
          <w:rFonts w:ascii="宋体" w:hAnsi="宋体" w:cs="仿宋"/>
          <w:b/>
          <w:bCs/>
          <w:sz w:val="24"/>
        </w:rPr>
        <w:t>通用职业技能</w:t>
      </w:r>
    </w:p>
    <w:p w14:paraId="50CD34E7">
      <w:pPr>
        <w:pageBreakBefore w:val="0"/>
        <w:kinsoku/>
        <w:wordWrap/>
        <w:overflowPunct/>
        <w:topLinePunct w:val="0"/>
        <w:autoSpaceDE/>
        <w:autoSpaceDN/>
        <w:bidi w:val="0"/>
        <w:adjustRightInd/>
        <w:spacing w:line="360" w:lineRule="auto"/>
        <w:ind w:firstLine="480" w:firstLineChars="200"/>
        <w:rPr>
          <w:rFonts w:hint="eastAsia" w:ascii="宋体" w:hAnsi="宋体" w:cs="仿宋"/>
          <w:sz w:val="24"/>
          <w:lang w:val="en-US" w:eastAsia="zh-CN"/>
        </w:rPr>
      </w:pPr>
      <w:r>
        <w:rPr>
          <w:rFonts w:hint="eastAsia" w:ascii="宋体" w:hAnsi="宋体" w:cs="仿宋"/>
          <w:sz w:val="24"/>
          <w:lang w:val="en-US" w:eastAsia="zh-CN"/>
        </w:rPr>
        <w:t>（1）具有实事求是、勇于创新的科学态度；</w:t>
      </w:r>
    </w:p>
    <w:p w14:paraId="6B16DEE4">
      <w:pPr>
        <w:pageBreakBefore w:val="0"/>
        <w:numPr>
          <w:ilvl w:val="0"/>
          <w:numId w:val="0"/>
        </w:numPr>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lang w:eastAsia="zh-CN"/>
        </w:rPr>
      </w:pPr>
      <w:r>
        <w:rPr>
          <w:rFonts w:hint="eastAsia" w:ascii="宋体" w:hAnsi="宋体" w:cs="仿宋"/>
          <w:sz w:val="24"/>
          <w:lang w:val="en-US" w:eastAsia="zh-CN"/>
        </w:rPr>
        <w:t>（2）</w:t>
      </w:r>
      <w:r>
        <w:rPr>
          <w:rFonts w:ascii="宋体" w:hAnsi="宋体" w:eastAsia="宋体" w:cs="宋体"/>
          <w:sz w:val="24"/>
          <w:szCs w:val="24"/>
        </w:rPr>
        <w:t>具有探究学习、终身学习、分析问题和解决问题的能力</w:t>
      </w:r>
      <w:r>
        <w:rPr>
          <w:rFonts w:hint="eastAsia" w:ascii="宋体" w:hAnsi="宋体" w:cs="宋体"/>
          <w:sz w:val="24"/>
          <w:szCs w:val="24"/>
          <w:lang w:eastAsia="zh-CN"/>
        </w:rPr>
        <w:t>；</w:t>
      </w:r>
    </w:p>
    <w:p w14:paraId="7DAA6C29">
      <w:pPr>
        <w:pageBreakBefore w:val="0"/>
        <w:numPr>
          <w:ilvl w:val="0"/>
          <w:numId w:val="0"/>
        </w:numPr>
        <w:kinsoku/>
        <w:wordWrap/>
        <w:overflowPunct/>
        <w:topLinePunct w:val="0"/>
        <w:autoSpaceDE/>
        <w:autoSpaceDN/>
        <w:bidi w:val="0"/>
        <w:adjustRightInd/>
        <w:spacing w:line="360" w:lineRule="auto"/>
        <w:ind w:firstLine="480" w:firstLineChars="200"/>
        <w:rPr>
          <w:rFonts w:hint="eastAsia" w:ascii="宋体" w:hAnsi="宋体" w:cs="宋体"/>
          <w:b w:val="0"/>
          <w:bCs w:val="0"/>
          <w:sz w:val="24"/>
          <w:szCs w:val="24"/>
          <w:lang w:eastAsia="zh-CN"/>
        </w:rPr>
      </w:pP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3</w:t>
      </w:r>
      <w:r>
        <w:rPr>
          <w:rFonts w:hint="eastAsia" w:ascii="宋体" w:hAnsi="宋体" w:cs="宋体"/>
          <w:b w:val="0"/>
          <w:bCs w:val="0"/>
          <w:sz w:val="24"/>
          <w:szCs w:val="24"/>
          <w:lang w:eastAsia="zh-CN"/>
        </w:rPr>
        <w:t>）</w:t>
      </w:r>
      <w:r>
        <w:rPr>
          <w:rFonts w:ascii="宋体" w:hAnsi="宋体" w:eastAsia="宋体" w:cs="宋体"/>
          <w:b w:val="0"/>
          <w:bCs w:val="0"/>
          <w:sz w:val="24"/>
          <w:szCs w:val="24"/>
        </w:rPr>
        <w:t>具有良好的语言、文字表达能力和人际沟通能力</w:t>
      </w:r>
      <w:r>
        <w:rPr>
          <w:rFonts w:hint="eastAsia" w:ascii="宋体" w:hAnsi="宋体" w:cs="宋体"/>
          <w:b w:val="0"/>
          <w:bCs w:val="0"/>
          <w:sz w:val="24"/>
          <w:szCs w:val="24"/>
          <w:lang w:eastAsia="zh-CN"/>
        </w:rPr>
        <w:t>；</w:t>
      </w:r>
    </w:p>
    <w:p w14:paraId="3BBDA337">
      <w:pPr>
        <w:pageBreakBefore w:val="0"/>
        <w:numPr>
          <w:ilvl w:val="0"/>
          <w:numId w:val="0"/>
        </w:numPr>
        <w:kinsoku/>
        <w:wordWrap/>
        <w:overflowPunct/>
        <w:topLinePunct w:val="0"/>
        <w:autoSpaceDE/>
        <w:autoSpaceDN/>
        <w:bidi w:val="0"/>
        <w:adjustRightInd/>
        <w:spacing w:line="360" w:lineRule="auto"/>
        <w:ind w:firstLine="480" w:firstLineChars="200"/>
        <w:rPr>
          <w:rFonts w:hint="eastAsia" w:ascii="宋体" w:hAnsi="宋体" w:cs="宋体"/>
          <w:b w:val="0"/>
          <w:bCs w:val="0"/>
          <w:sz w:val="24"/>
          <w:szCs w:val="24"/>
          <w:lang w:eastAsia="zh-CN"/>
        </w:rPr>
      </w:pP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4</w:t>
      </w:r>
      <w:r>
        <w:rPr>
          <w:rFonts w:hint="eastAsia" w:ascii="宋体" w:hAnsi="宋体" w:cs="宋体"/>
          <w:b w:val="0"/>
          <w:bCs w:val="0"/>
          <w:sz w:val="24"/>
          <w:szCs w:val="24"/>
          <w:lang w:eastAsia="zh-CN"/>
        </w:rPr>
        <w:t>）</w:t>
      </w:r>
      <w:r>
        <w:rPr>
          <w:rFonts w:ascii="宋体" w:hAnsi="宋体" w:eastAsia="宋体" w:cs="宋体"/>
          <w:b w:val="0"/>
          <w:bCs w:val="0"/>
          <w:sz w:val="24"/>
          <w:szCs w:val="24"/>
        </w:rPr>
        <w:t>具有文字、表格、图像的计算机处理能力，本专业必需的信息技术应用能力</w:t>
      </w:r>
      <w:r>
        <w:rPr>
          <w:rFonts w:hint="eastAsia" w:ascii="宋体" w:hAnsi="宋体" w:cs="宋体"/>
          <w:b w:val="0"/>
          <w:bCs w:val="0"/>
          <w:sz w:val="24"/>
          <w:szCs w:val="24"/>
          <w:lang w:eastAsia="zh-CN"/>
        </w:rPr>
        <w:t>；</w:t>
      </w:r>
    </w:p>
    <w:p w14:paraId="42481251">
      <w:pPr>
        <w:pageBreakBefore w:val="0"/>
        <w:numPr>
          <w:ilvl w:val="0"/>
          <w:numId w:val="0"/>
        </w:numPr>
        <w:kinsoku/>
        <w:wordWrap/>
        <w:overflowPunct/>
        <w:topLinePunct w:val="0"/>
        <w:autoSpaceDE/>
        <w:autoSpaceDN/>
        <w:bidi w:val="0"/>
        <w:adjustRightInd/>
        <w:spacing w:line="360" w:lineRule="auto"/>
        <w:ind w:firstLine="480" w:firstLineChars="200"/>
        <w:rPr>
          <w:rFonts w:hint="eastAsia" w:ascii="宋体" w:hAnsi="宋体" w:cs="仿宋"/>
          <w:b/>
          <w:bCs/>
          <w:sz w:val="24"/>
        </w:rPr>
      </w:pPr>
      <w:r>
        <w:rPr>
          <w:rFonts w:hint="eastAsia" w:ascii="宋体" w:hAnsi="宋体" w:cs="宋体"/>
          <w:sz w:val="24"/>
          <w:szCs w:val="24"/>
          <w:lang w:eastAsia="zh-CN"/>
        </w:rPr>
        <w:t>（</w:t>
      </w:r>
      <w:r>
        <w:rPr>
          <w:rFonts w:hint="eastAsia" w:ascii="宋体" w:hAnsi="宋体" w:eastAsia="宋体" w:cs="宋体"/>
          <w:b w:val="0"/>
          <w:bCs w:val="0"/>
          <w:kern w:val="2"/>
          <w:sz w:val="24"/>
          <w:szCs w:val="24"/>
          <w:lang w:val="en-US" w:eastAsia="zh-CN" w:bidi="ar-SA"/>
        </w:rPr>
        <w:t>5）具备使用专业知识和技能，适应经济社会发展的能力。</w:t>
      </w:r>
    </w:p>
    <w:p w14:paraId="3F55CB30"/>
    <w:p w14:paraId="23AC07B5">
      <w:pPr>
        <w:pStyle w:val="3"/>
        <w:spacing w:line="360" w:lineRule="auto"/>
      </w:pPr>
      <w:bookmarkStart w:id="12" w:name="_Toc197702693"/>
      <w:r>
        <w:t>课程设置及学时安排</w:t>
      </w:r>
      <w:r>
        <w:rPr>
          <w:rFonts w:hint="eastAsia"/>
          <w:vanish/>
          <w:color w:val="FF0000"/>
        </w:rPr>
        <w:t>（参照教育部标准）</w:t>
      </w:r>
      <w:bookmarkEnd w:id="12"/>
    </w:p>
    <w:p w14:paraId="19B0638D">
      <w:pPr>
        <w:pStyle w:val="4"/>
        <w:numPr>
          <w:ilvl w:val="0"/>
          <w:numId w:val="4"/>
        </w:numPr>
        <w:spacing w:line="360" w:lineRule="auto"/>
        <w:ind w:firstLine="480"/>
        <w:rPr>
          <w:rFonts w:hint="eastAsia"/>
          <w:b w:val="0"/>
          <w:bCs w:val="0"/>
        </w:rPr>
      </w:pPr>
      <w:bookmarkStart w:id="13" w:name="_Toc197702694"/>
      <w:r>
        <w:rPr>
          <w:b w:val="0"/>
          <w:bCs w:val="0"/>
        </w:rPr>
        <w:t>公共基础课程</w:t>
      </w:r>
      <w:bookmarkEnd w:id="13"/>
    </w:p>
    <w:p w14:paraId="4D1ACA12">
      <w:pPr>
        <w:spacing w:line="360" w:lineRule="auto"/>
        <w:ind w:firstLine="480" w:firstLineChars="200"/>
        <w:rPr>
          <w:rFonts w:hint="eastAsia"/>
          <w:sz w:val="24"/>
        </w:rPr>
      </w:pPr>
      <w:r>
        <w:rPr>
          <w:rFonts w:hint="eastAsia"/>
          <w:sz w:val="24"/>
          <w:lang w:val="en-US" w:eastAsia="zh-CN"/>
        </w:rPr>
        <w:t>主要包括：</w:t>
      </w:r>
      <w:r>
        <w:rPr>
          <w:rFonts w:hint="eastAsia"/>
          <w:sz w:val="24"/>
        </w:rPr>
        <w:t>思想政治理论、毛泽东思想和中国特色社会主义理论体系概论</w:t>
      </w:r>
      <w:r>
        <w:rPr>
          <w:rFonts w:hint="eastAsia"/>
          <w:sz w:val="24"/>
          <w:lang w:eastAsia="zh-CN"/>
        </w:rPr>
        <w:t>、</w:t>
      </w:r>
      <w:r>
        <w:rPr>
          <w:rFonts w:hint="eastAsia"/>
          <w:sz w:val="24"/>
        </w:rPr>
        <w:t>习近平新时代中国特色社会主义思想概论</w:t>
      </w:r>
      <w:r>
        <w:rPr>
          <w:rFonts w:hint="eastAsia"/>
          <w:sz w:val="24"/>
          <w:lang w:eastAsia="zh-CN"/>
        </w:rPr>
        <w:t>、</w:t>
      </w:r>
      <w:r>
        <w:rPr>
          <w:rFonts w:hint="eastAsia"/>
          <w:sz w:val="24"/>
        </w:rPr>
        <w:t>国家安全教育</w:t>
      </w:r>
      <w:r>
        <w:rPr>
          <w:rFonts w:hint="eastAsia"/>
          <w:sz w:val="24"/>
          <w:lang w:eastAsia="zh-CN"/>
        </w:rPr>
        <w:t>、</w:t>
      </w:r>
      <w:r>
        <w:rPr>
          <w:rFonts w:hint="eastAsia"/>
          <w:sz w:val="24"/>
        </w:rPr>
        <w:t>形势与政策</w:t>
      </w:r>
      <w:r>
        <w:rPr>
          <w:rFonts w:hint="eastAsia"/>
          <w:sz w:val="24"/>
          <w:lang w:eastAsia="zh-CN"/>
        </w:rPr>
        <w:t>、</w:t>
      </w:r>
      <w:r>
        <w:rPr>
          <w:rFonts w:hint="eastAsia"/>
          <w:sz w:val="24"/>
        </w:rPr>
        <w:t>军事理论与军训</w:t>
      </w:r>
      <w:r>
        <w:rPr>
          <w:rFonts w:hint="eastAsia"/>
          <w:sz w:val="24"/>
          <w:lang w:eastAsia="zh-CN"/>
        </w:rPr>
        <w:t>、</w:t>
      </w:r>
      <w:r>
        <w:rPr>
          <w:rFonts w:hint="eastAsia"/>
          <w:sz w:val="24"/>
        </w:rPr>
        <w:t>职业生涯规划</w:t>
      </w:r>
      <w:r>
        <w:rPr>
          <w:rFonts w:hint="eastAsia"/>
          <w:sz w:val="24"/>
          <w:lang w:eastAsia="zh-CN"/>
        </w:rPr>
        <w:t>、</w:t>
      </w:r>
      <w:r>
        <w:rPr>
          <w:rFonts w:hint="eastAsia"/>
          <w:sz w:val="24"/>
        </w:rPr>
        <w:t>心理健康教育</w:t>
      </w:r>
      <w:r>
        <w:rPr>
          <w:rFonts w:hint="eastAsia"/>
          <w:sz w:val="24"/>
          <w:lang w:eastAsia="zh-CN"/>
        </w:rPr>
        <w:t>、</w:t>
      </w:r>
      <w:r>
        <w:rPr>
          <w:rFonts w:hint="eastAsia"/>
          <w:sz w:val="24"/>
        </w:rPr>
        <w:t>就业与创业指导</w:t>
      </w:r>
      <w:r>
        <w:rPr>
          <w:rFonts w:hint="eastAsia"/>
          <w:sz w:val="24"/>
          <w:lang w:eastAsia="zh-CN"/>
        </w:rPr>
        <w:t>、</w:t>
      </w:r>
      <w:r>
        <w:rPr>
          <w:rFonts w:hint="eastAsia"/>
          <w:sz w:val="24"/>
          <w:lang w:val="en-US" w:eastAsia="zh-CN"/>
        </w:rPr>
        <w:t>体育、劳动教育、大学语文、计算机应用基础</w:t>
      </w:r>
      <w:r>
        <w:rPr>
          <w:rFonts w:hint="eastAsia"/>
          <w:sz w:val="24"/>
        </w:rPr>
        <w:t>等列为公共基础必修课程。</w:t>
      </w:r>
    </w:p>
    <w:p w14:paraId="1EE7E5ED">
      <w:pPr>
        <w:pStyle w:val="4"/>
        <w:numPr>
          <w:ilvl w:val="0"/>
          <w:numId w:val="4"/>
        </w:numPr>
        <w:spacing w:line="360" w:lineRule="auto"/>
        <w:ind w:firstLine="480"/>
        <w:rPr>
          <w:rFonts w:hint="eastAsia"/>
          <w:b w:val="0"/>
          <w:bCs w:val="0"/>
        </w:rPr>
      </w:pPr>
      <w:bookmarkStart w:id="14" w:name="_Toc197702695"/>
      <w:r>
        <w:rPr>
          <w:b w:val="0"/>
          <w:bCs w:val="0"/>
        </w:rPr>
        <w:t>专业课程</w:t>
      </w:r>
      <w:bookmarkEnd w:id="14"/>
    </w:p>
    <w:p w14:paraId="416C766F">
      <w:pPr>
        <w:numPr>
          <w:ilvl w:val="0"/>
          <w:numId w:val="5"/>
        </w:numPr>
        <w:snapToGrid w:val="0"/>
        <w:spacing w:line="360" w:lineRule="auto"/>
        <w:ind w:firstLine="480" w:firstLineChars="200"/>
        <w:contextualSpacing/>
        <w:rPr>
          <w:sz w:val="24"/>
        </w:rPr>
      </w:pPr>
      <w:r>
        <w:rPr>
          <w:sz w:val="24"/>
        </w:rPr>
        <w:t>专业基础课程</w:t>
      </w:r>
    </w:p>
    <w:p w14:paraId="64F5CDAD">
      <w:pPr>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主要包括：英语泛读、英语精读、英语视听说、英语语音、英语语法。</w:t>
      </w:r>
    </w:p>
    <w:p w14:paraId="79086925">
      <w:pPr>
        <w:numPr>
          <w:ilvl w:val="0"/>
          <w:numId w:val="5"/>
        </w:numPr>
        <w:snapToGrid w:val="0"/>
        <w:spacing w:line="360" w:lineRule="auto"/>
        <w:ind w:left="0" w:leftChars="0" w:firstLine="480" w:firstLineChars="200"/>
        <w:contextualSpacing/>
        <w:rPr>
          <w:sz w:val="24"/>
        </w:rPr>
      </w:pPr>
      <w:r>
        <w:rPr>
          <w:sz w:val="24"/>
        </w:rPr>
        <w:t>专业核心课程</w:t>
      </w:r>
    </w:p>
    <w:p w14:paraId="01C3ED2B">
      <w:pPr>
        <w:spacing w:line="360" w:lineRule="auto"/>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主要包括：外贸函电、文秘英语、职场礼仪与人际沟通、英语笔译、英语口译、英语课堂教学技能、管理学基础、秘书实务。</w:t>
      </w:r>
    </w:p>
    <w:p w14:paraId="4AEEC4DA">
      <w:pPr>
        <w:snapToGrid w:val="0"/>
        <w:ind w:firstLine="420" w:firstLineChars="200"/>
        <w:contextualSpacing/>
      </w:pP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25" w:type="pct"/>
        <w:jc w:val="center"/>
        <w:tblLayout w:type="autofit"/>
        <w:tblCellMar>
          <w:top w:w="0" w:type="dxa"/>
          <w:left w:w="0" w:type="dxa"/>
          <w:bottom w:w="0" w:type="dxa"/>
          <w:right w:w="0" w:type="dxa"/>
        </w:tblCellMar>
      </w:tblPr>
      <w:tblGrid>
        <w:gridCol w:w="561"/>
        <w:gridCol w:w="2220"/>
        <w:gridCol w:w="2370"/>
        <w:gridCol w:w="4356"/>
      </w:tblGrid>
      <w:tr w14:paraId="6F36FCFE">
        <w:tblPrEx>
          <w:tblCellMar>
            <w:top w:w="0" w:type="dxa"/>
            <w:left w:w="0" w:type="dxa"/>
            <w:bottom w:w="0" w:type="dxa"/>
            <w:right w:w="0" w:type="dxa"/>
          </w:tblCellMar>
        </w:tblPrEx>
        <w:trPr>
          <w:trHeight w:val="408" w:hRule="exact"/>
          <w:tblHeader/>
          <w:jc w:val="center"/>
        </w:trPr>
        <w:tc>
          <w:tcPr>
            <w:tcW w:w="295"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167"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246"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2290"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6"/>
              </w:numPr>
              <w:spacing w:line="272" w:lineRule="exact"/>
              <w:ind w:right="99"/>
              <w:jc w:val="center"/>
              <w:rPr>
                <w:rFonts w:hint="eastAsia" w:ascii="宋体" w:hAnsi="宋体" w:eastAsia="宋体" w:cs="宋体"/>
                <w:sz w:val="21"/>
                <w:szCs w:val="21"/>
                <w:lang w:eastAsia="zh-CN"/>
              </w:rPr>
            </w:pPr>
          </w:p>
        </w:tc>
        <w:tc>
          <w:tcPr>
            <w:tcW w:w="1167" w:type="pct"/>
            <w:tcBorders>
              <w:top w:val="single" w:color="000000" w:sz="4" w:space="0"/>
              <w:left w:val="single" w:color="auto" w:sz="4" w:space="0"/>
              <w:bottom w:val="single" w:color="000000" w:sz="4" w:space="0"/>
              <w:right w:val="single" w:color="000000" w:sz="4" w:space="0"/>
            </w:tcBorders>
            <w:vAlign w:val="center"/>
          </w:tcPr>
          <w:p w14:paraId="7D2FFE10">
            <w:pPr>
              <w:pStyle w:val="133"/>
              <w:spacing w:line="285"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lang w:val="en-US" w:eastAsia="zh-CN"/>
              </w:rPr>
              <w:t>外贸函电</w:t>
            </w:r>
          </w:p>
        </w:tc>
        <w:tc>
          <w:tcPr>
            <w:tcW w:w="1246" w:type="pct"/>
            <w:tcBorders>
              <w:top w:val="single" w:color="000000" w:sz="4" w:space="0"/>
              <w:left w:val="single" w:color="000000" w:sz="4" w:space="0"/>
              <w:bottom w:val="single" w:color="000000" w:sz="4" w:space="0"/>
              <w:right w:val="single" w:color="000000" w:sz="4" w:space="0"/>
            </w:tcBorders>
          </w:tcPr>
          <w:p w14:paraId="48D3FC37">
            <w:pPr>
              <w:pStyle w:val="133"/>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1.英语开发信撰写</w:t>
            </w:r>
          </w:p>
          <w:p w14:paraId="6529859B">
            <w:pPr>
              <w:pStyle w:val="133"/>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2.商务磋商沟通</w:t>
            </w:r>
          </w:p>
          <w:p w14:paraId="630EA4B8">
            <w:pPr>
              <w:pStyle w:val="133"/>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3.订单合同处理</w:t>
            </w:r>
          </w:p>
          <w:p w14:paraId="7295E1ED">
            <w:pPr>
              <w:pStyle w:val="133"/>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4.支付运输协调</w:t>
            </w:r>
          </w:p>
          <w:p w14:paraId="3532B4A2">
            <w:pPr>
              <w:pStyle w:val="133"/>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bookmarkStart w:id="32" w:name="_GoBack"/>
            <w:bookmarkEnd w:id="32"/>
            <w:r>
              <w:rPr>
                <w:rFonts w:hint="eastAsia" w:ascii="宋体" w:hAnsi="宋体" w:eastAsia="宋体" w:cs="宋体"/>
                <w:sz w:val="21"/>
                <w:szCs w:val="21"/>
                <w:lang w:eastAsia="zh-CN"/>
              </w:rPr>
              <w:t>.纠纷英语处理</w:t>
            </w:r>
          </w:p>
        </w:tc>
        <w:tc>
          <w:tcPr>
            <w:tcW w:w="2290" w:type="pct"/>
            <w:tcBorders>
              <w:top w:val="single" w:color="000000" w:sz="4" w:space="0"/>
              <w:left w:val="single" w:color="000000" w:sz="4" w:space="0"/>
              <w:bottom w:val="single" w:color="000000" w:sz="4" w:space="0"/>
              <w:right w:val="single" w:color="000000" w:sz="4" w:space="0"/>
            </w:tcBorders>
          </w:tcPr>
          <w:p w14:paraId="3BDD4518">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1.英语基础与专业术语：掌握外贸专用英语词汇、短语及缩略语，熟悉商务英语函电语法规则与句式结构。​</w:t>
            </w:r>
          </w:p>
          <w:p w14:paraId="57FEB525">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2.业务流程函电写作：能用英语撰写开发客户、询盘还盘、订单确认、信用证沟通、装运通知、索赔理赔等全流程函电。</w:t>
            </w:r>
          </w:p>
          <w:p w14:paraId="5093BEDD">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3.翻译与沟通技能：准确翻译外贸合同、单据等文件，通过英语函电与海外客户高效沟通，解决业务问题。​</w:t>
            </w:r>
          </w:p>
          <w:p w14:paraId="3AD38F14">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4.格式与礼仪规范：遵循英语商务信函格式标准，熟练运用英语商务礼仪用语，体现专业沟通素养。</w:t>
            </w:r>
          </w:p>
          <w:p w14:paraId="75487866">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5.跨文化交际意识：了解国际商务文化差异，在英语函电中调整表达策略，避免文化冲突，促进业务合作。</w:t>
            </w:r>
          </w:p>
        </w:tc>
      </w:tr>
      <w:tr w14:paraId="3EEFB324">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6"/>
              </w:numPr>
              <w:ind w:firstLineChars="0"/>
              <w:jc w:val="center"/>
              <w:rPr>
                <w:rFonts w:eastAsiaTheme="minorEastAsia"/>
                <w:lang w:eastAsia="zh-CN"/>
              </w:rPr>
            </w:pPr>
          </w:p>
        </w:tc>
        <w:tc>
          <w:tcPr>
            <w:tcW w:w="1167" w:type="pct"/>
            <w:tcBorders>
              <w:top w:val="single" w:color="000000" w:sz="4" w:space="0"/>
              <w:left w:val="single" w:color="auto" w:sz="4" w:space="0"/>
              <w:bottom w:val="single" w:color="000000" w:sz="4" w:space="0"/>
              <w:right w:val="single" w:color="000000" w:sz="4" w:space="0"/>
            </w:tcBorders>
            <w:vAlign w:val="center"/>
          </w:tcPr>
          <w:p w14:paraId="5547799E">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lang w:val="en-US" w:eastAsia="zh-CN"/>
              </w:rPr>
              <w:t>文秘英语</w:t>
            </w:r>
          </w:p>
        </w:tc>
        <w:tc>
          <w:tcPr>
            <w:tcW w:w="1246" w:type="pct"/>
            <w:tcBorders>
              <w:top w:val="single" w:color="000000" w:sz="4" w:space="0"/>
              <w:left w:val="single" w:color="000000" w:sz="4" w:space="0"/>
              <w:bottom w:val="single" w:color="000000" w:sz="4" w:space="0"/>
              <w:right w:val="single" w:color="000000" w:sz="4" w:space="0"/>
            </w:tcBorders>
          </w:tcPr>
          <w:p w14:paraId="7AD81E16">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1.英语与文秘术语​</w:t>
            </w:r>
          </w:p>
          <w:p w14:paraId="56BC6EAA">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2.文书写作规范</w:t>
            </w:r>
          </w:p>
          <w:p w14:paraId="71F2FA4F">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3.沟通协调技能</w:t>
            </w:r>
          </w:p>
          <w:p w14:paraId="0AC2DAB1">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4.翻译实践能力​</w:t>
            </w:r>
          </w:p>
          <w:p w14:paraId="32119557">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5.跨文化交际</w:t>
            </w:r>
          </w:p>
        </w:tc>
        <w:tc>
          <w:tcPr>
            <w:tcW w:w="2290" w:type="pct"/>
            <w:tcBorders>
              <w:top w:val="single" w:color="000000" w:sz="4" w:space="0"/>
              <w:left w:val="single" w:color="000000" w:sz="4" w:space="0"/>
              <w:bottom w:val="single" w:color="000000" w:sz="4" w:space="0"/>
              <w:right w:val="single" w:color="000000" w:sz="4" w:space="0"/>
            </w:tcBorders>
          </w:tcPr>
          <w:p w14:paraId="68A11FE3">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1.英语基础与文秘术语：掌握文秘专用英语词汇、短语及行业缩略语，熟练运用文秘英语句式与语法结构。​</w:t>
            </w:r>
          </w:p>
          <w:p w14:paraId="27EEBA46">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2.文书写作与格式规范：学会撰写英语商务信函、通知、报告等文书，遵循国际通用公文格式与礼仪标准。​</w:t>
            </w:r>
          </w:p>
          <w:p w14:paraId="485D2763">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3.沟通与协调技能：能用英语高效完成电话沟通、邮件往来，具备跨文化场景下的商务协调与应变能力。​</w:t>
            </w:r>
          </w:p>
          <w:p w14:paraId="2EBB7BB2">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4.翻译实践应用：掌握文件、合同等材料的英汉互译技巧，确保翻译内容符合商务语境与专业要求。​</w:t>
            </w:r>
          </w:p>
          <w:p w14:paraId="679AF681">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5.跨文化交际能力：了解国际商务礼仪与文化差异，能在涉外沟通中灵活调整表达，展现专业文秘素养。</w:t>
            </w:r>
          </w:p>
        </w:tc>
      </w:tr>
      <w:tr w14:paraId="77B97AA5">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6"/>
              </w:numPr>
              <w:ind w:firstLineChars="0"/>
              <w:jc w:val="center"/>
              <w:rPr>
                <w:rFonts w:eastAsiaTheme="minorEastAsia"/>
                <w:lang w:eastAsia="zh-CN"/>
              </w:rPr>
            </w:pPr>
          </w:p>
        </w:tc>
        <w:tc>
          <w:tcPr>
            <w:tcW w:w="1167" w:type="pct"/>
            <w:tcBorders>
              <w:top w:val="single" w:color="000000" w:sz="4" w:space="0"/>
              <w:left w:val="single" w:color="auto" w:sz="4" w:space="0"/>
              <w:bottom w:val="single" w:color="000000" w:sz="4" w:space="0"/>
              <w:right w:val="single" w:color="000000" w:sz="4" w:space="0"/>
            </w:tcBorders>
            <w:vAlign w:val="center"/>
          </w:tcPr>
          <w:p w14:paraId="14311C1D">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lang w:val="en-US" w:eastAsia="zh-CN"/>
              </w:rPr>
              <w:t>职场礼仪与人际沟通</w:t>
            </w:r>
          </w:p>
        </w:tc>
        <w:tc>
          <w:tcPr>
            <w:tcW w:w="1246" w:type="pct"/>
            <w:tcBorders>
              <w:top w:val="single" w:color="000000" w:sz="4" w:space="0"/>
              <w:left w:val="single" w:color="000000" w:sz="4" w:space="0"/>
              <w:bottom w:val="single" w:color="000000" w:sz="4" w:space="0"/>
              <w:right w:val="single" w:color="000000" w:sz="4" w:space="0"/>
            </w:tcBorders>
          </w:tcPr>
          <w:p w14:paraId="42B14FE1">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 xml:space="preserve">职场社交礼仪 </w:t>
            </w:r>
          </w:p>
          <w:p w14:paraId="2940798F">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商务活动礼仪</w:t>
            </w:r>
          </w:p>
          <w:p w14:paraId="3B105323">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跨文化沟通</w:t>
            </w:r>
          </w:p>
        </w:tc>
        <w:tc>
          <w:tcPr>
            <w:tcW w:w="2290" w:type="pct"/>
            <w:tcBorders>
              <w:top w:val="single" w:color="000000" w:sz="4" w:space="0"/>
              <w:left w:val="single" w:color="000000" w:sz="4" w:space="0"/>
              <w:bottom w:val="single" w:color="000000" w:sz="4" w:space="0"/>
              <w:right w:val="single" w:color="000000" w:sz="4" w:space="0"/>
            </w:tcBorders>
          </w:tcPr>
          <w:p w14:paraId="2D4296EE">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1、系统教授各类英语问候语的正确使用场景与语气，学生能够精准判断不同职场场景，运用恰当的问候语与称呼，与同事、上级及客户进行自然且礼貌的互动。</w:t>
            </w:r>
          </w:p>
          <w:p w14:paraId="64095C8C">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在会议参与准备阶段，教导学生如何通过多种渠道全面了解会议主题、详细议程以及特殊要求，如会议的背景资料查询、相关专业术语的预习等，学生在模拟商务会议场景中，无论是作为普通参会人员还是会议主持人，都能够熟练运用英语，按照商务会议礼仪规范，积极、专业地参与会议的各个环节。</w:t>
            </w:r>
          </w:p>
          <w:p w14:paraId="7C522DF1">
            <w:pPr>
              <w:pStyle w:val="133"/>
              <w:ind w:left="103"/>
              <w:jc w:val="both"/>
              <w:rPr>
                <w:rFonts w:hint="eastAsia" w:ascii="宋体" w:hAnsi="宋体" w:eastAsia="宋体" w:cs="宋体"/>
                <w:sz w:val="24"/>
                <w:szCs w:val="21"/>
                <w:lang w:eastAsia="zh-CN"/>
              </w:rPr>
            </w:pPr>
            <w:r>
              <w:rPr>
                <w:rFonts w:hint="eastAsia" w:ascii="宋体" w:hAnsi="宋体" w:eastAsia="宋体" w:cs="宋体"/>
                <w:sz w:val="21"/>
                <w:szCs w:val="21"/>
                <w:lang w:eastAsia="zh-CN"/>
              </w:rPr>
              <w:t>3、学生在模拟商务会议场景中，无论是作为普通参会人员还是会议主持人，都能够熟练运用英语，按照商务会议礼仪规范，积极、专业地参与会议的各个环节。学生能够广泛了解世界主要国家和地区的文化差异特点，在跨文化交流场景模拟中，迅速识别因文化差异可能产生的沟通障碍，并能够准确分析其文化根源，展现出较强的文化差异认知能力与问题分析能力。</w:t>
            </w:r>
          </w:p>
        </w:tc>
      </w:tr>
      <w:tr w14:paraId="5E256063">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6"/>
              </w:numPr>
              <w:ind w:firstLineChars="0"/>
              <w:jc w:val="center"/>
              <w:rPr>
                <w:rFonts w:eastAsiaTheme="minorEastAsia"/>
                <w:lang w:eastAsia="en-US"/>
              </w:rPr>
            </w:pPr>
          </w:p>
        </w:tc>
        <w:tc>
          <w:tcPr>
            <w:tcW w:w="1167" w:type="pct"/>
            <w:tcBorders>
              <w:top w:val="single" w:color="000000" w:sz="4" w:space="0"/>
              <w:left w:val="single" w:color="auto" w:sz="4" w:space="0"/>
              <w:bottom w:val="single" w:color="000000" w:sz="4" w:space="0"/>
              <w:right w:val="single" w:color="000000" w:sz="4" w:space="0"/>
            </w:tcBorders>
            <w:vAlign w:val="center"/>
          </w:tcPr>
          <w:p w14:paraId="086EA9AC">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lang w:val="en-US" w:eastAsia="zh-CN"/>
              </w:rPr>
              <w:t>英语笔译</w:t>
            </w:r>
          </w:p>
        </w:tc>
        <w:tc>
          <w:tcPr>
            <w:tcW w:w="1246" w:type="pct"/>
            <w:tcBorders>
              <w:top w:val="single" w:color="000000" w:sz="4" w:space="0"/>
              <w:left w:val="single" w:color="000000" w:sz="4" w:space="0"/>
              <w:bottom w:val="single" w:color="000000" w:sz="4" w:space="0"/>
              <w:right w:val="single" w:color="000000" w:sz="4" w:space="0"/>
            </w:tcBorders>
          </w:tcPr>
          <w:p w14:paraId="256F8EE1">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基础翻译项目承接​</w:t>
            </w:r>
          </w:p>
          <w:p w14:paraId="6AD4184E">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2.常见文本翻译实践​</w:t>
            </w:r>
          </w:p>
          <w:p w14:paraId="2A713388">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3.译文初步校对审核</w:t>
            </w:r>
          </w:p>
          <w:p w14:paraId="383A4B9F">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4.翻译流程基础协作</w:t>
            </w:r>
          </w:p>
          <w:p w14:paraId="186FE9AD">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5.基础术语与资源管理</w:t>
            </w:r>
          </w:p>
        </w:tc>
        <w:tc>
          <w:tcPr>
            <w:tcW w:w="2290" w:type="pct"/>
            <w:tcBorders>
              <w:top w:val="single" w:color="000000" w:sz="4" w:space="0"/>
              <w:left w:val="single" w:color="000000" w:sz="4" w:space="0"/>
              <w:bottom w:val="single" w:color="000000" w:sz="4" w:space="0"/>
              <w:right w:val="single" w:color="000000" w:sz="4" w:space="0"/>
            </w:tcBorders>
          </w:tcPr>
          <w:p w14:paraId="52460082">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巩固语法词汇，分析句子结构；开展翻译练习；提升听说能力辅助理解。​</w:t>
            </w:r>
          </w:p>
          <w:p w14:paraId="64C20592">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讲解直译等基础技巧；分析常见文本翻译特点；进行实操训练。​​</w:t>
            </w:r>
          </w:p>
          <w:p w14:paraId="4531B123">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教授商务等领域基础知识；学习常用术语；开展模拟翻译项目。​</w:t>
            </w:r>
          </w:p>
          <w:p w14:paraId="4F30D118">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介绍百度翻译等工具使用；讲解基础 CAT 软件操作；引导利用网络查资料。​</w:t>
            </w:r>
          </w:p>
          <w:p w14:paraId="4991985A">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讲解项目流程；训练沟通技巧；开展模拟项目实践。​​</w:t>
            </w:r>
          </w:p>
          <w:p w14:paraId="1864628C">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传授语法检查等校对方法；开展对照审核练习；讲解交叉校对流程。</w:t>
            </w:r>
          </w:p>
        </w:tc>
      </w:tr>
      <w:tr w14:paraId="2FACF997">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6"/>
              </w:numPr>
              <w:ind w:firstLineChars="0"/>
              <w:jc w:val="center"/>
              <w:rPr>
                <w:rFonts w:eastAsiaTheme="minorEastAsia"/>
                <w:lang w:eastAsia="en-US"/>
              </w:rPr>
            </w:pPr>
          </w:p>
        </w:tc>
        <w:tc>
          <w:tcPr>
            <w:tcW w:w="1167" w:type="pct"/>
            <w:tcBorders>
              <w:top w:val="single" w:color="000000" w:sz="4" w:space="0"/>
              <w:left w:val="single" w:color="auto" w:sz="4" w:space="0"/>
              <w:bottom w:val="single" w:color="000000" w:sz="4" w:space="0"/>
              <w:right w:val="single" w:color="000000" w:sz="4" w:space="0"/>
            </w:tcBorders>
            <w:vAlign w:val="center"/>
          </w:tcPr>
          <w:p w14:paraId="33F69D4D">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lang w:val="en-US" w:eastAsia="zh-CN"/>
              </w:rPr>
              <w:t>英语口译</w:t>
            </w:r>
          </w:p>
        </w:tc>
        <w:tc>
          <w:tcPr>
            <w:tcW w:w="1246" w:type="pct"/>
            <w:tcBorders>
              <w:top w:val="single" w:color="000000" w:sz="4" w:space="0"/>
              <w:left w:val="single" w:color="000000" w:sz="4" w:space="0"/>
              <w:bottom w:val="single" w:color="000000" w:sz="4" w:space="0"/>
              <w:right w:val="single" w:color="000000" w:sz="4" w:space="0"/>
            </w:tcBorders>
          </w:tcPr>
          <w:p w14:paraId="6D5FBC18">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日常交流口译</w:t>
            </w:r>
          </w:p>
          <w:p w14:paraId="187BEC12">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会议基础口译​</w:t>
            </w:r>
          </w:p>
          <w:p w14:paraId="4741C62D">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展会现场口译</w:t>
            </w:r>
          </w:p>
          <w:p w14:paraId="16FD665F">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口译资料准备</w:t>
            </w:r>
          </w:p>
        </w:tc>
        <w:tc>
          <w:tcPr>
            <w:tcW w:w="2290" w:type="pct"/>
            <w:tcBorders>
              <w:top w:val="single" w:color="000000" w:sz="4" w:space="0"/>
              <w:left w:val="single" w:color="000000" w:sz="4" w:space="0"/>
              <w:bottom w:val="single" w:color="000000" w:sz="4" w:space="0"/>
              <w:right w:val="single" w:color="000000" w:sz="4" w:space="0"/>
            </w:tcBorders>
          </w:tcPr>
          <w:p w14:paraId="2BF9AA9C">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强化英语听力训练，涵盖不同语速和口音的材料；提升英语口语表达能力，练习发音技巧；扩充常用英语词汇和短语，重点掌握生活、商务领域高频词汇。​</w:t>
            </w:r>
          </w:p>
          <w:p w14:paraId="5E15A505">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讲解交替传译基础技巧，传授口译中的应急处理方法，分析不同场景下的口译特点与注意事项。​</w:t>
            </w:r>
          </w:p>
          <w:p w14:paraId="70764107">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模拟涉外接待、商务会议、展会讲解等高职对口就业场景，开展口译实战演练；学习各场景中的专业术语、礼仪规范和沟通技巧；分析典型案例，总结不同场景口译要点。​</w:t>
            </w:r>
          </w:p>
          <w:p w14:paraId="36300A21">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训练快速抓取源语关键信息的能力；培养短期记忆能力，通过记忆训练游戏、复述练习提升信息存储与提取效率；学习口译资料的高效整理与分析方法。​</w:t>
            </w:r>
          </w:p>
          <w:p w14:paraId="6C020622">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介绍常见口译设备（如同传设备、扩音设备）的使用方法；讲解口译辅助软件（如翻译词典 APP、语音转文字工具）的操作；指导利用网络资源进行口译素材积累与学习。​​</w:t>
            </w:r>
          </w:p>
          <w:p w14:paraId="124D045C">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培养口译员的职业素养，训练跨文化交际能力，了解中西方文化差异对沟通的影响；开展团队协作口译训练，提升与其他译员配合能力。</w:t>
            </w:r>
          </w:p>
        </w:tc>
      </w:tr>
      <w:tr w14:paraId="720A3314">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19EFEA3A">
            <w:pPr>
              <w:pStyle w:val="33"/>
              <w:numPr>
                <w:ilvl w:val="0"/>
                <w:numId w:val="6"/>
              </w:numPr>
              <w:ind w:firstLineChars="0"/>
              <w:jc w:val="center"/>
              <w:rPr>
                <w:rFonts w:eastAsiaTheme="minorEastAsia"/>
                <w:lang w:eastAsia="en-US"/>
              </w:rPr>
            </w:pPr>
          </w:p>
        </w:tc>
        <w:tc>
          <w:tcPr>
            <w:tcW w:w="1167" w:type="pct"/>
            <w:tcBorders>
              <w:top w:val="single" w:color="000000" w:sz="4" w:space="0"/>
              <w:left w:val="single" w:color="auto" w:sz="4" w:space="0"/>
              <w:bottom w:val="single" w:color="000000" w:sz="4" w:space="0"/>
              <w:right w:val="single" w:color="000000" w:sz="4" w:space="0"/>
            </w:tcBorders>
            <w:vAlign w:val="center"/>
          </w:tcPr>
          <w:p w14:paraId="23F97AC7">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lang w:val="en-US" w:eastAsia="zh-CN"/>
              </w:rPr>
              <w:t>英语课堂教学技能</w:t>
            </w:r>
          </w:p>
        </w:tc>
        <w:tc>
          <w:tcPr>
            <w:tcW w:w="1246" w:type="pct"/>
            <w:tcBorders>
              <w:top w:val="single" w:color="000000" w:sz="4" w:space="0"/>
              <w:left w:val="single" w:color="000000" w:sz="4" w:space="0"/>
              <w:bottom w:val="single" w:color="000000" w:sz="4" w:space="0"/>
              <w:right w:val="single" w:color="000000" w:sz="4" w:space="0"/>
            </w:tcBorders>
          </w:tcPr>
          <w:p w14:paraId="3973B199">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‌课程设计与实施‌</w:t>
            </w:r>
          </w:p>
          <w:p w14:paraId="1FC2C5F2">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2.‌学生能力培养‌</w:t>
            </w:r>
          </w:p>
          <w:p w14:paraId="285ECFF6">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3.‌教学评估与改进‌</w:t>
            </w:r>
          </w:p>
          <w:p w14:paraId="34E7F79D">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4.‌职业素养融合‌</w:t>
            </w:r>
          </w:p>
        </w:tc>
        <w:tc>
          <w:tcPr>
            <w:tcW w:w="2290" w:type="pct"/>
            <w:tcBorders>
              <w:top w:val="single" w:color="000000" w:sz="4" w:space="0"/>
              <w:left w:val="single" w:color="000000" w:sz="4" w:space="0"/>
              <w:bottom w:val="single" w:color="000000" w:sz="4" w:space="0"/>
              <w:right w:val="single" w:color="000000" w:sz="4" w:space="0"/>
            </w:tcBorders>
          </w:tcPr>
          <w:p w14:paraId="706AAA96">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制定以职场需求为导向的教学计划，融入教育行业英语采用模块化教学划分"职业与个人"职业与社会"等主题单元。通过情景模拟、角色扮演等互动方式强化实践能力。</w:t>
            </w:r>
          </w:p>
          <w:p w14:paraId="24BE5323">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2.侧重职业场景下的语言应用，包括专业术语掌握。通过趣味游戏、小组合作等方式提升学习动机。</w:t>
            </w:r>
          </w:p>
          <w:p w14:paraId="21C115D1">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3.采用多元评价体系，结合形成性评价（课堂表现、任务完成度）和终结性评价，定期调整教学策略。同时需整合数字化资源（在线课程、语料库）辅助混合式教学。</w:t>
            </w:r>
          </w:p>
          <w:p w14:paraId="42131B46">
            <w:pPr>
              <w:pStyle w:val="133"/>
              <w:ind w:left="103"/>
              <w:jc w:val="both"/>
              <w:rPr>
                <w:rFonts w:hint="eastAsia" w:ascii="宋体" w:hAnsi="宋体" w:eastAsia="宋体" w:cs="宋体"/>
                <w:sz w:val="24"/>
                <w:szCs w:val="21"/>
                <w:lang w:eastAsia="zh-CN"/>
              </w:rPr>
            </w:pPr>
            <w:r>
              <w:rPr>
                <w:rFonts w:hint="eastAsia" w:ascii="宋体" w:hAnsi="宋体" w:eastAsia="宋体" w:cs="宋体"/>
                <w:sz w:val="21"/>
                <w:szCs w:val="21"/>
                <w:lang w:eastAsia="zh-CN"/>
              </w:rPr>
              <w:t>4.在语言训练中渗透行业规范、工匠精神等思政元素，通过案例教学培养学生职业认同感。组织英语技能竞赛、企业实习等活动衔接岗位需求。</w:t>
            </w:r>
          </w:p>
        </w:tc>
      </w:tr>
      <w:tr w14:paraId="4C5D102A">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0C5680A1">
            <w:pPr>
              <w:pStyle w:val="33"/>
              <w:numPr>
                <w:ilvl w:val="0"/>
                <w:numId w:val="6"/>
              </w:numPr>
              <w:ind w:firstLineChars="0"/>
              <w:jc w:val="center"/>
              <w:rPr>
                <w:rFonts w:eastAsiaTheme="minorEastAsia"/>
                <w:lang w:eastAsia="en-US"/>
              </w:rPr>
            </w:pPr>
          </w:p>
        </w:tc>
        <w:tc>
          <w:tcPr>
            <w:tcW w:w="1167" w:type="pct"/>
            <w:tcBorders>
              <w:top w:val="single" w:color="000000" w:sz="4" w:space="0"/>
              <w:left w:val="single" w:color="auto" w:sz="4" w:space="0"/>
              <w:bottom w:val="single" w:color="000000" w:sz="4" w:space="0"/>
              <w:right w:val="single" w:color="000000" w:sz="4" w:space="0"/>
            </w:tcBorders>
            <w:vAlign w:val="center"/>
          </w:tcPr>
          <w:p w14:paraId="6D91456D">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lang w:val="en-US" w:eastAsia="zh-CN"/>
              </w:rPr>
              <w:t>管理学基础</w:t>
            </w:r>
          </w:p>
        </w:tc>
        <w:tc>
          <w:tcPr>
            <w:tcW w:w="1246" w:type="pct"/>
            <w:tcBorders>
              <w:top w:val="single" w:color="000000" w:sz="4" w:space="0"/>
              <w:left w:val="single" w:color="000000" w:sz="4" w:space="0"/>
              <w:bottom w:val="single" w:color="000000" w:sz="4" w:space="0"/>
              <w:right w:val="single" w:color="000000" w:sz="4" w:space="0"/>
            </w:tcBorders>
          </w:tcPr>
          <w:p w14:paraId="4596DB3E">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 xml:space="preserve">组织架构设计 </w:t>
            </w:r>
          </w:p>
          <w:p w14:paraId="5E2B22B2">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 xml:space="preserve">人员管理 </w:t>
            </w:r>
          </w:p>
          <w:p w14:paraId="22455E8F">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 xml:space="preserve">计划制定与执行 </w:t>
            </w:r>
          </w:p>
          <w:p w14:paraId="4BA73355">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 xml:space="preserve">资源调配 </w:t>
            </w:r>
          </w:p>
          <w:p w14:paraId="7921557D">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沟通协调</w:t>
            </w:r>
          </w:p>
        </w:tc>
        <w:tc>
          <w:tcPr>
            <w:tcW w:w="2290" w:type="pct"/>
            <w:tcBorders>
              <w:top w:val="single" w:color="000000" w:sz="4" w:space="0"/>
              <w:left w:val="single" w:color="000000" w:sz="4" w:space="0"/>
              <w:bottom w:val="single" w:color="000000" w:sz="4" w:space="0"/>
              <w:right w:val="single" w:color="000000" w:sz="4" w:space="0"/>
            </w:tcBorders>
          </w:tcPr>
          <w:p w14:paraId="3F724625">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1.管理理论：掌握古典、行为科学、现代等管理理论，能分析实际问题。</w:t>
            </w:r>
          </w:p>
          <w:p w14:paraId="7EE8DF4A">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2.计划：会用分析工具，掌握计划方法，能制定简单计划。</w:t>
            </w:r>
          </w:p>
          <w:p w14:paraId="7624B521">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3.组织：了解组织设计原则与类型，掌握岗位分析方法，能设计架构。</w:t>
            </w:r>
          </w:p>
          <w:p w14:paraId="13A23F14">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4.领导：熟悉领导理论，掌握激励和沟通技巧，能管理团队。</w:t>
            </w:r>
          </w:p>
          <w:p w14:paraId="0ED99606">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5.控制：掌握控制过程，会用控制方法，能分析偏差并改进。</w:t>
            </w:r>
          </w:p>
        </w:tc>
      </w:tr>
      <w:tr w14:paraId="612818E4">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2941E6A3">
            <w:pPr>
              <w:pStyle w:val="33"/>
              <w:numPr>
                <w:ilvl w:val="0"/>
                <w:numId w:val="6"/>
              </w:numPr>
              <w:ind w:firstLineChars="0"/>
              <w:jc w:val="center"/>
              <w:rPr>
                <w:rFonts w:eastAsiaTheme="minorEastAsia"/>
                <w:lang w:eastAsia="en-US"/>
              </w:rPr>
            </w:pPr>
          </w:p>
        </w:tc>
        <w:tc>
          <w:tcPr>
            <w:tcW w:w="1167" w:type="pct"/>
            <w:tcBorders>
              <w:top w:val="single" w:color="000000" w:sz="4" w:space="0"/>
              <w:left w:val="single" w:color="auto" w:sz="4" w:space="0"/>
              <w:bottom w:val="single" w:color="000000" w:sz="4" w:space="0"/>
              <w:right w:val="single" w:color="000000" w:sz="4" w:space="0"/>
            </w:tcBorders>
            <w:vAlign w:val="center"/>
          </w:tcPr>
          <w:p w14:paraId="6039CAB6">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lang w:val="en-US" w:eastAsia="zh-CN"/>
              </w:rPr>
              <w:t>秘书实务</w:t>
            </w:r>
          </w:p>
        </w:tc>
        <w:tc>
          <w:tcPr>
            <w:tcW w:w="1246" w:type="pct"/>
            <w:tcBorders>
              <w:top w:val="single" w:color="000000" w:sz="4" w:space="0"/>
              <w:left w:val="single" w:color="000000" w:sz="4" w:space="0"/>
              <w:bottom w:val="single" w:color="000000" w:sz="4" w:space="0"/>
              <w:right w:val="single" w:color="000000" w:sz="4" w:space="0"/>
            </w:tcBorders>
          </w:tcPr>
          <w:p w14:paraId="6885768A">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1.日常事务管理</w:t>
            </w:r>
          </w:p>
          <w:p w14:paraId="637F48AD">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2.文书工作处理</w:t>
            </w:r>
          </w:p>
          <w:p w14:paraId="1EA05F4F">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3.会议管理</w:t>
            </w:r>
          </w:p>
          <w:p w14:paraId="38AD555F">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4.信息收集与处理</w:t>
            </w:r>
          </w:p>
          <w:p w14:paraId="710E6DD6">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5.沟通协调</w:t>
            </w:r>
          </w:p>
          <w:p w14:paraId="23E4FDC9">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6.辅助决策</w:t>
            </w:r>
          </w:p>
          <w:p w14:paraId="24229D9B">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7.差旅安排</w:t>
            </w:r>
          </w:p>
        </w:tc>
        <w:tc>
          <w:tcPr>
            <w:tcW w:w="2290" w:type="pct"/>
            <w:tcBorders>
              <w:top w:val="single" w:color="000000" w:sz="4" w:space="0"/>
              <w:left w:val="single" w:color="000000" w:sz="4" w:space="0"/>
              <w:bottom w:val="single" w:color="000000" w:sz="4" w:space="0"/>
              <w:right w:val="single" w:color="000000" w:sz="4" w:space="0"/>
            </w:tcBorders>
          </w:tcPr>
          <w:p w14:paraId="55792D37">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1.日常事务管理</w:t>
            </w:r>
          </w:p>
          <w:p w14:paraId="5A0BA495">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教学内容：涵盖办公环境维护，如桌面整洁、设备管理、物资储备等；日常事务处理，包括电话接听、邮件收发、印信管理、值班安排；办公效率提升与时间管理技巧。</w:t>
            </w:r>
          </w:p>
          <w:p w14:paraId="12F6E5D6">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教学要求：学生应具备独立管理办公环境、高效处理日常事务能力，能合理规划时间，优化办公流程，保障办公室正常运转。</w:t>
            </w:r>
          </w:p>
          <w:p w14:paraId="45DF01EC">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 文书工作处理</w:t>
            </w:r>
          </w:p>
          <w:p w14:paraId="36B24E78">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教学内容：公文、报告、总结、会议纪要等各类文书撰写规范；文件收发、登记、传阅、归档流程；文件校对技巧及外文文件翻译基础。</w:t>
            </w:r>
          </w:p>
          <w:p w14:paraId="0778E795">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教学要求：学生要熟练掌握各类文书写作格式与技巧，确保内容准确、逻辑清晰；严格遵循文件管理流程，实现文件高效流转与安全存储；具备基础外文文件翻译能力。</w:t>
            </w:r>
          </w:p>
          <w:p w14:paraId="1C486F22">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 会议管理</w:t>
            </w:r>
          </w:p>
          <w:p w14:paraId="1763C977">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教学内容：会议筹备，含主题确定、时间地点安排、通知下发、材料与设备准备；会中服务，如签到、记录、秩序维护、茶水供应；会后跟进，包括纪要整理、决议督促执行。</w:t>
            </w:r>
          </w:p>
          <w:p w14:paraId="448525B8">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教学要求：学生需全程把控会议流程，能独立完成会前准备、会中保障及会后落实工作，确保会议顺利进行，达成预期效果。</w:t>
            </w:r>
          </w:p>
          <w:p w14:paraId="0EDA0B1C">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 信息收集与处理</w:t>
            </w:r>
          </w:p>
          <w:p w14:paraId="5E21CC0C">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教学内容：行业动态、政策法规、市场数据等信息收集渠道与方法；信息筛选、分析技巧；信息简报撰写与信息数据库搭建。</w:t>
            </w:r>
          </w:p>
          <w:p w14:paraId="6873CB04">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5. 沟通协调</w:t>
            </w:r>
          </w:p>
          <w:p w14:paraId="477D5B80">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教学内容：内部部门间沟通协调方法，解决冲突与促进协作技巧；外部公共关系维护，与合作伙伴沟通策略；上下信息传递与反馈机制。</w:t>
            </w:r>
          </w:p>
          <w:p w14:paraId="13E5FEFB">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教学要求：学生要掌握有效沟通技巧，能协调各方关系，化解矛盾冲突，维护良好内外部关系，保障信息畅通。</w:t>
            </w:r>
          </w:p>
          <w:p w14:paraId="23F98E41">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 辅助决策</w:t>
            </w:r>
          </w:p>
          <w:p w14:paraId="3DB55453">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教学内容：协助领导调研的方法与流程，资料收集与分析要点；工作计划、方案起草与可行性论证；决策执行跟踪与反馈。</w:t>
            </w:r>
          </w:p>
          <w:p w14:paraId="62A1DF96">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教学要求：学生需具备辅助决策能力，能为领导调研提供支持，起草合理方案，密切关注决策执行，及时反馈调整。</w:t>
            </w:r>
          </w:p>
          <w:p w14:paraId="0C493A67">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7. 差旅安排</w:t>
            </w:r>
          </w:p>
          <w:p w14:paraId="27A8800E">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教学内容：机票、火车票、酒店预订流程与技巧；出差路线规划；出差文件、证件准备及费用报销处理。</w:t>
            </w:r>
          </w:p>
          <w:p w14:paraId="5F0515F4">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教学要求：学生要熟练完成差旅各项安排，保障出行顺利，妥善处理费用报销事宜。</w:t>
            </w:r>
          </w:p>
        </w:tc>
      </w:tr>
    </w:tbl>
    <w:p w14:paraId="4F33A77C">
      <w:pPr>
        <w:snapToGrid w:val="0"/>
        <w:spacing w:line="360" w:lineRule="auto"/>
        <w:contextualSpacing/>
        <w:rPr>
          <w:sz w:val="24"/>
        </w:rPr>
      </w:pPr>
    </w:p>
    <w:p w14:paraId="52B6B510">
      <w:pPr>
        <w:numPr>
          <w:ilvl w:val="0"/>
          <w:numId w:val="5"/>
        </w:numPr>
        <w:snapToGrid w:val="0"/>
        <w:spacing w:line="360" w:lineRule="auto"/>
        <w:ind w:left="0" w:leftChars="0" w:firstLine="480" w:firstLineChars="200"/>
        <w:contextualSpacing/>
        <w:rPr>
          <w:sz w:val="24"/>
        </w:rPr>
      </w:pPr>
      <w:r>
        <w:rPr>
          <w:sz w:val="24"/>
        </w:rPr>
        <w:t>专业拓展课程</w:t>
      </w:r>
    </w:p>
    <w:p w14:paraId="7DE2855A">
      <w:pPr>
        <w:snapToGrid w:val="0"/>
        <w:spacing w:line="360" w:lineRule="auto"/>
        <w:ind w:firstLine="480" w:firstLineChars="200"/>
        <w:contextualSpacing/>
        <w:rPr>
          <w:rFonts w:hint="default"/>
          <w:sz w:val="24"/>
          <w:lang w:val="en-US" w:eastAsia="zh-CN"/>
        </w:rPr>
      </w:pPr>
      <w:r>
        <w:rPr>
          <w:rFonts w:hint="eastAsia"/>
          <w:sz w:val="24"/>
          <w:lang w:eastAsia="zh-CN"/>
        </w:rPr>
        <w:t>主要包括：Introducing China in English，市场营销，国际贸易理论与实务，英文演讲，英美文学欣赏，商务英语写作</w:t>
      </w:r>
      <w:r>
        <w:rPr>
          <w:rFonts w:hint="eastAsia"/>
          <w:sz w:val="24"/>
          <w:lang w:val="en-US" w:eastAsia="zh-CN"/>
        </w:rPr>
        <w:t>等课程。</w:t>
      </w:r>
    </w:p>
    <w:p w14:paraId="464D1422">
      <w:pPr>
        <w:pStyle w:val="4"/>
        <w:numPr>
          <w:ilvl w:val="0"/>
          <w:numId w:val="4"/>
        </w:numPr>
        <w:spacing w:line="360" w:lineRule="auto"/>
        <w:ind w:firstLine="480"/>
        <w:rPr>
          <w:rFonts w:hint="eastAsia"/>
          <w:b w:val="0"/>
          <w:bCs w:val="0"/>
        </w:rPr>
      </w:pPr>
      <w:bookmarkStart w:id="15" w:name="_Toc197702696"/>
      <w:r>
        <w:rPr>
          <w:b w:val="0"/>
          <w:bCs w:val="0"/>
        </w:rPr>
        <w:t>实践性教学环节</w:t>
      </w:r>
      <w:bookmarkEnd w:id="15"/>
    </w:p>
    <w:p w14:paraId="160A36B8">
      <w:pPr>
        <w:snapToGrid w:val="0"/>
        <w:spacing w:line="360" w:lineRule="auto"/>
        <w:ind w:firstLine="480" w:firstLineChars="200"/>
        <w:contextualSpacing/>
        <w:rPr>
          <w:sz w:val="24"/>
        </w:rPr>
      </w:pPr>
      <w:r>
        <w:rPr>
          <w:sz w:val="24"/>
        </w:rPr>
        <w:t>（1）实</w:t>
      </w:r>
      <w:r>
        <w:rPr>
          <w:rFonts w:hint="eastAsia"/>
          <w:sz w:val="24"/>
          <w:lang w:val="en-US" w:eastAsia="zh-CN"/>
        </w:rPr>
        <w:t xml:space="preserve"> </w:t>
      </w:r>
      <w:r>
        <w:rPr>
          <w:sz w:val="24"/>
        </w:rPr>
        <w:t>训</w:t>
      </w:r>
    </w:p>
    <w:p w14:paraId="14BCCD3C">
      <w:pPr>
        <w:snapToGrid w:val="0"/>
        <w:spacing w:line="360" w:lineRule="auto"/>
        <w:ind w:firstLine="480" w:firstLineChars="200"/>
        <w:contextualSpacing/>
        <w:rPr>
          <w:rFonts w:hint="eastAsia"/>
          <w:sz w:val="24"/>
          <w:lang w:eastAsia="zh-CN"/>
        </w:rPr>
      </w:pPr>
      <w:r>
        <w:rPr>
          <w:rFonts w:hint="eastAsia"/>
          <w:sz w:val="24"/>
          <w:lang w:eastAsia="zh-CN"/>
        </w:rPr>
        <w:t>在校内外进行英语听、说、读、写、译等语言技能综合训练，以及模拟涉外职场环境下 的英汉（汉英） 口译实操、英汉（汉英） 笔译实操、涉外文秘实操、涉外企业服务流程实操、 涉外事务服务、涉外礼仪等实训， 包括单项技能实训、综合能力实训、生产性实训等。</w:t>
      </w:r>
    </w:p>
    <w:p w14:paraId="20E1E692">
      <w:pPr>
        <w:snapToGrid w:val="0"/>
        <w:spacing w:line="360" w:lineRule="auto"/>
        <w:ind w:firstLine="480" w:firstLineChars="200"/>
        <w:contextualSpacing/>
        <w:rPr>
          <w:sz w:val="24"/>
        </w:rPr>
      </w:pPr>
      <w:r>
        <w:rPr>
          <w:sz w:val="24"/>
        </w:rPr>
        <w:t>（2）实</w:t>
      </w:r>
      <w:r>
        <w:rPr>
          <w:rFonts w:hint="eastAsia"/>
          <w:sz w:val="24"/>
          <w:lang w:val="en-US" w:eastAsia="zh-CN"/>
        </w:rPr>
        <w:t xml:space="preserve"> </w:t>
      </w:r>
      <w:r>
        <w:rPr>
          <w:sz w:val="24"/>
        </w:rPr>
        <w:t>习</w:t>
      </w:r>
    </w:p>
    <w:p w14:paraId="1236083A">
      <w:pPr>
        <w:snapToGrid w:val="0"/>
        <w:spacing w:line="360" w:lineRule="auto"/>
        <w:ind w:firstLine="480" w:firstLineChars="200"/>
        <w:contextualSpacing/>
        <w:rPr>
          <w:rFonts w:hint="eastAsia"/>
          <w:sz w:val="24"/>
          <w:lang w:eastAsia="zh-CN"/>
        </w:rPr>
      </w:pPr>
      <w:r>
        <w:rPr>
          <w:rFonts w:hint="eastAsia"/>
          <w:sz w:val="24"/>
          <w:lang w:eastAsia="zh-CN"/>
        </w:rPr>
        <w:t>在商务服务行业的涉外服务企业进行英语翻译、涉外文秘、涉外企业服务、外事服务等 实习，包括认识实习和岗位实习。学校应建立稳定、够用的实习基地，选派专门的实习指导 教师和人员，组织开展专业对口实习，加强对学生实习的指导、管理和考核。</w:t>
      </w:r>
    </w:p>
    <w:p w14:paraId="78CFBD73">
      <w:pPr>
        <w:snapToGrid w:val="0"/>
        <w:spacing w:line="360" w:lineRule="auto"/>
        <w:ind w:firstLine="480" w:firstLineChars="200"/>
        <w:contextualSpacing/>
        <w:rPr>
          <w:rFonts w:hint="eastAsia"/>
          <w:sz w:val="24"/>
          <w:lang w:eastAsia="zh-CN"/>
        </w:rPr>
      </w:pPr>
      <w:r>
        <w:rPr>
          <w:rFonts w:hint="eastAsia"/>
          <w:sz w:val="24"/>
          <w:lang w:eastAsia="zh-CN"/>
        </w:rPr>
        <w:t>实习实训既是实践性教学，也是专业课教学的重要内容，应注重理论与实践一体化教学。 学校可根据技能人才培养规律，结合企业生产周期，优化学期安排， 灵活开展实践性教学。应严格执行《职业学校学生实习管理规定》和相关专业岗位实习标准要求。</w:t>
      </w:r>
    </w:p>
    <w:p w14:paraId="15572B96">
      <w:pPr>
        <w:pStyle w:val="4"/>
        <w:numPr>
          <w:ilvl w:val="0"/>
          <w:numId w:val="4"/>
        </w:numPr>
        <w:spacing w:line="360" w:lineRule="auto"/>
        <w:ind w:firstLine="480"/>
        <w:rPr>
          <w:rFonts w:hint="eastAsia"/>
          <w:b w:val="0"/>
          <w:bCs w:val="0"/>
        </w:rPr>
      </w:pPr>
      <w:bookmarkStart w:id="16" w:name="_Toc197702697"/>
      <w:r>
        <w:rPr>
          <w:b w:val="0"/>
          <w:bCs w:val="0"/>
        </w:rPr>
        <w:t>相关要求</w:t>
      </w:r>
      <w:bookmarkEnd w:id="16"/>
    </w:p>
    <w:p w14:paraId="103C5743">
      <w:pPr>
        <w:snapToGrid w:val="0"/>
        <w:spacing w:line="360" w:lineRule="auto"/>
        <w:ind w:firstLine="480" w:firstLineChars="200"/>
        <w:contextualSpacing/>
        <w:rPr>
          <w:rFonts w:hint="eastAsia"/>
          <w:sz w:val="24"/>
          <w:lang w:eastAsia="zh-CN"/>
        </w:rPr>
      </w:pPr>
      <w:r>
        <w:rPr>
          <w:rFonts w:hint="eastAsia"/>
          <w:sz w:val="24"/>
          <w:lang w:eastAsia="zh-CN"/>
        </w:rPr>
        <w:t>学校应充分发挥思政课程和各类课程的育人功能。发挥思政课程政治引领和价值引领作 用，在思政课程中有机融入党史、新中国史、改革开放史、社会主义发展史等相关内容； 结 合实际落实课程思政， 推进全员、全过程、全方位育人， 实现思想政治教育与技术技能培养 的有机统一。应开设安全教育（含典型案例事故分析）、社会责任、绿色环保、新一代信息技 术、数字经济、现代管理、创新创业教育等方面的拓展课程或专题讲座（活动），并将有关内 容融入课程教学中；自主开设其他特色课程； 组织开展德育活动、志愿服务活动和其他实践 活动。</w:t>
      </w:r>
    </w:p>
    <w:p w14:paraId="4C2FC3FA">
      <w:pPr>
        <w:pStyle w:val="3"/>
        <w:spacing w:line="360" w:lineRule="auto"/>
      </w:pPr>
      <w:bookmarkStart w:id="17" w:name="_Toc197702698"/>
      <w:r>
        <w:t>学时安排</w:t>
      </w:r>
      <w:bookmarkEnd w:id="17"/>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046AFFF0">
      <w:pPr>
        <w:snapToGrid w:val="0"/>
        <w:spacing w:line="360" w:lineRule="auto"/>
        <w:ind w:firstLine="480" w:firstLineChars="200"/>
        <w:contextualSpacing/>
        <w:rPr>
          <w:sz w:val="24"/>
        </w:rPr>
      </w:pPr>
    </w:p>
    <w:p w14:paraId="0ACE55F2">
      <w:pPr>
        <w:snapToGrid w:val="0"/>
        <w:spacing w:line="360" w:lineRule="auto"/>
        <w:ind w:firstLine="480" w:firstLineChars="200"/>
        <w:contextualSpacing/>
        <w:rPr>
          <w:sz w:val="24"/>
        </w:rPr>
      </w:pPr>
    </w:p>
    <w:p w14:paraId="3A7A8BCF">
      <w:pPr>
        <w:pStyle w:val="3"/>
        <w:spacing w:line="360" w:lineRule="auto"/>
      </w:pPr>
      <w:bookmarkStart w:id="18" w:name="_Toc197702699"/>
      <w:r>
        <w:t>教学活动时间分配表</w:t>
      </w:r>
      <w:bookmarkEnd w:id="18"/>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p>
        </w:tc>
        <w:tc>
          <w:tcPr>
            <w:tcW w:w="374" w:type="pct"/>
            <w:tcMar>
              <w:left w:w="0" w:type="dxa"/>
              <w:right w:w="0" w:type="dxa"/>
            </w:tcMar>
            <w:vAlign w:val="center"/>
          </w:tcPr>
          <w:p w14:paraId="7C30B8FE">
            <w:pPr>
              <w:snapToGrid w:val="0"/>
              <w:jc w:val="center"/>
              <w:rPr>
                <w:sz w:val="24"/>
              </w:rPr>
            </w:pPr>
          </w:p>
        </w:tc>
        <w:tc>
          <w:tcPr>
            <w:tcW w:w="373" w:type="pct"/>
            <w:tcMar>
              <w:left w:w="0" w:type="dxa"/>
              <w:right w:w="0" w:type="dxa"/>
            </w:tcMar>
            <w:vAlign w:val="center"/>
          </w:tcPr>
          <w:p w14:paraId="7435D96A">
            <w:pPr>
              <w:snapToGrid w:val="0"/>
              <w:jc w:val="center"/>
              <w:rPr>
                <w:rFonts w:hint="eastAsia" w:eastAsia="宋体"/>
                <w:sz w:val="24"/>
                <w:lang w:val="en-US" w:eastAsia="zh-CN"/>
              </w:rPr>
            </w:pPr>
            <w:r>
              <w:rPr>
                <w:rFonts w:hint="eastAsia"/>
                <w:sz w:val="24"/>
                <w:lang w:val="en-US" w:eastAsia="zh-CN"/>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rFonts w:hint="default" w:eastAsia="宋体"/>
                <w:b/>
                <w:sz w:val="24"/>
                <w:lang w:val="en-US" w:eastAsia="zh-CN"/>
              </w:rPr>
            </w:pPr>
            <w:r>
              <w:rPr>
                <w:rFonts w:hint="eastAsia"/>
                <w:b/>
                <w:sz w:val="24"/>
                <w:lang w:val="en-US" w:eastAsia="zh-CN"/>
              </w:rPr>
              <w:t>18</w:t>
            </w:r>
          </w:p>
        </w:tc>
        <w:tc>
          <w:tcPr>
            <w:tcW w:w="374" w:type="pct"/>
            <w:tcMar>
              <w:left w:w="0" w:type="dxa"/>
              <w:right w:w="0" w:type="dxa"/>
            </w:tcMar>
            <w:vAlign w:val="center"/>
          </w:tcPr>
          <w:p w14:paraId="4D6D0659">
            <w:pPr>
              <w:snapToGrid w:val="0"/>
              <w:jc w:val="center"/>
              <w:rPr>
                <w:rFonts w:hint="default" w:eastAsia="宋体"/>
                <w:b/>
                <w:sz w:val="24"/>
                <w:lang w:val="en-US" w:eastAsia="zh-CN"/>
              </w:rPr>
            </w:pPr>
            <w:r>
              <w:rPr>
                <w:rFonts w:hint="eastAsia"/>
                <w:b/>
                <w:sz w:val="24"/>
                <w:lang w:val="en-US" w:eastAsia="zh-CN"/>
              </w:rPr>
              <w:t>18</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rFonts w:hint="default" w:eastAsia="宋体"/>
                <w:b/>
                <w:sz w:val="24"/>
                <w:lang w:val="en-US" w:eastAsia="zh-CN"/>
              </w:rPr>
            </w:pPr>
            <w:r>
              <w:rPr>
                <w:rFonts w:hint="eastAsia"/>
                <w:b/>
                <w:sz w:val="24"/>
                <w:lang w:val="en-US" w:eastAsia="zh-CN"/>
              </w:rPr>
              <w:t>19</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rFonts w:hint="eastAsia" w:eastAsia="宋体"/>
                <w:b/>
                <w:sz w:val="24"/>
                <w:lang w:eastAsia="zh-CN"/>
              </w:rPr>
            </w:pPr>
            <w:r>
              <w:rPr>
                <w:b/>
                <w:sz w:val="24"/>
              </w:rPr>
              <w:t>11</w:t>
            </w:r>
            <w:r>
              <w:rPr>
                <w:rFonts w:hint="eastAsia"/>
                <w:b/>
                <w:sz w:val="24"/>
                <w:lang w:val="en-US" w:eastAsia="zh-CN"/>
              </w:rPr>
              <w:t>4</w:t>
            </w:r>
          </w:p>
        </w:tc>
      </w:tr>
    </w:tbl>
    <w:p w14:paraId="1639D36A">
      <w:pPr>
        <w:pStyle w:val="3"/>
        <w:spacing w:line="360" w:lineRule="auto"/>
      </w:pPr>
      <w:bookmarkStart w:id="19" w:name="_Toc197702700"/>
      <w:r>
        <w:t>学时分配比例表</w:t>
      </w:r>
      <w:bookmarkEnd w:id="19"/>
    </w:p>
    <w:tbl>
      <w:tblPr>
        <w:tblStyle w:val="19"/>
        <w:tblW w:w="48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6"/>
        <w:gridCol w:w="1682"/>
        <w:gridCol w:w="1682"/>
        <w:gridCol w:w="1682"/>
        <w:gridCol w:w="1678"/>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0"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0"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0"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88"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0" w:type="pct"/>
            <w:shd w:val="clear" w:color="auto" w:fill="auto"/>
            <w:noWrap/>
            <w:vAlign w:val="center"/>
          </w:tcPr>
          <w:p w14:paraId="1BA928DB">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560</w:t>
            </w:r>
          </w:p>
        </w:tc>
        <w:tc>
          <w:tcPr>
            <w:tcW w:w="890" w:type="pct"/>
            <w:shd w:val="clear" w:color="auto" w:fill="auto"/>
            <w:noWrap/>
            <w:vAlign w:val="center"/>
          </w:tcPr>
          <w:p w14:paraId="43912A7B">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246</w:t>
            </w:r>
          </w:p>
        </w:tc>
        <w:tc>
          <w:tcPr>
            <w:tcW w:w="890" w:type="pct"/>
            <w:shd w:val="clear" w:color="auto" w:fill="auto"/>
            <w:noWrap/>
            <w:vAlign w:val="center"/>
          </w:tcPr>
          <w:p w14:paraId="3317911E">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314</w:t>
            </w:r>
          </w:p>
        </w:tc>
        <w:tc>
          <w:tcPr>
            <w:tcW w:w="888" w:type="pct"/>
            <w:shd w:val="clear" w:color="auto" w:fill="auto"/>
            <w:noWrap/>
            <w:vAlign w:val="center"/>
          </w:tcPr>
          <w:p w14:paraId="2A26FCF9">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0"/>
                <w:sz w:val="24"/>
                <w:szCs w:val="24"/>
                <w:u w:val="none"/>
                <w:lang w:val="en-US" w:eastAsia="zh-CN" w:bidi="ar"/>
              </w:rPr>
            </w:pP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1682" w:type="dxa"/>
            <w:shd w:val="clear" w:color="auto" w:fill="auto"/>
            <w:noWrap/>
            <w:vAlign w:val="center"/>
          </w:tcPr>
          <w:p w14:paraId="3A525892">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640</w:t>
            </w:r>
          </w:p>
        </w:tc>
        <w:tc>
          <w:tcPr>
            <w:tcW w:w="1682" w:type="dxa"/>
            <w:shd w:val="clear" w:color="auto" w:fill="auto"/>
            <w:noWrap/>
            <w:vAlign w:val="center"/>
          </w:tcPr>
          <w:p w14:paraId="041C9AD5">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402</w:t>
            </w:r>
          </w:p>
        </w:tc>
        <w:tc>
          <w:tcPr>
            <w:tcW w:w="1682" w:type="dxa"/>
            <w:shd w:val="clear" w:color="auto" w:fill="auto"/>
            <w:noWrap/>
            <w:vAlign w:val="center"/>
          </w:tcPr>
          <w:p w14:paraId="586C7CEC">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238</w:t>
            </w:r>
          </w:p>
        </w:tc>
        <w:tc>
          <w:tcPr>
            <w:tcW w:w="888" w:type="pct"/>
            <w:shd w:val="clear" w:color="auto" w:fill="auto"/>
            <w:noWrap/>
            <w:vAlign w:val="center"/>
          </w:tcPr>
          <w:p w14:paraId="550155A1">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0"/>
                <w:sz w:val="24"/>
                <w:szCs w:val="24"/>
                <w:u w:val="none"/>
                <w:lang w:val="en-US" w:eastAsia="zh-CN" w:bidi="ar"/>
              </w:rPr>
            </w:pP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1682" w:type="dxa"/>
            <w:shd w:val="clear" w:color="auto" w:fill="auto"/>
            <w:noWrap/>
            <w:vAlign w:val="center"/>
          </w:tcPr>
          <w:p w14:paraId="2CFEE657">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416</w:t>
            </w:r>
          </w:p>
        </w:tc>
        <w:tc>
          <w:tcPr>
            <w:tcW w:w="1682" w:type="dxa"/>
            <w:shd w:val="clear" w:color="auto" w:fill="auto"/>
            <w:noWrap/>
            <w:vAlign w:val="center"/>
          </w:tcPr>
          <w:p w14:paraId="49D75EA3">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264</w:t>
            </w:r>
          </w:p>
        </w:tc>
        <w:tc>
          <w:tcPr>
            <w:tcW w:w="1682" w:type="dxa"/>
            <w:shd w:val="clear" w:color="auto" w:fill="auto"/>
            <w:noWrap/>
            <w:vAlign w:val="center"/>
          </w:tcPr>
          <w:p w14:paraId="6656748B">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152</w:t>
            </w:r>
          </w:p>
        </w:tc>
        <w:tc>
          <w:tcPr>
            <w:tcW w:w="888" w:type="pct"/>
            <w:shd w:val="clear" w:color="auto" w:fill="auto"/>
            <w:noWrap/>
            <w:vAlign w:val="center"/>
          </w:tcPr>
          <w:p w14:paraId="1DC1F6D4">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0"/>
                <w:sz w:val="24"/>
                <w:szCs w:val="24"/>
                <w:u w:val="none"/>
                <w:lang w:val="en-US" w:eastAsia="zh-CN" w:bidi="ar"/>
              </w:rPr>
            </w:pP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1682" w:type="dxa"/>
            <w:shd w:val="clear" w:color="auto" w:fill="auto"/>
            <w:noWrap/>
            <w:vAlign w:val="center"/>
          </w:tcPr>
          <w:p w14:paraId="3C780F81">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128</w:t>
            </w:r>
          </w:p>
        </w:tc>
        <w:tc>
          <w:tcPr>
            <w:tcW w:w="1682" w:type="dxa"/>
            <w:shd w:val="clear" w:color="auto" w:fill="auto"/>
            <w:noWrap/>
            <w:vAlign w:val="center"/>
          </w:tcPr>
          <w:p w14:paraId="64F79A95">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80</w:t>
            </w:r>
          </w:p>
        </w:tc>
        <w:tc>
          <w:tcPr>
            <w:tcW w:w="1682" w:type="dxa"/>
            <w:shd w:val="clear" w:color="auto" w:fill="auto"/>
            <w:noWrap/>
            <w:vAlign w:val="center"/>
          </w:tcPr>
          <w:p w14:paraId="09F2345A">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48</w:t>
            </w:r>
          </w:p>
        </w:tc>
        <w:tc>
          <w:tcPr>
            <w:tcW w:w="888" w:type="pct"/>
            <w:shd w:val="clear" w:color="auto" w:fill="auto"/>
            <w:noWrap/>
            <w:vAlign w:val="center"/>
          </w:tcPr>
          <w:p w14:paraId="2BCF1B97">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0"/>
                <w:sz w:val="24"/>
                <w:szCs w:val="24"/>
                <w:u w:val="none"/>
                <w:lang w:val="en-US" w:eastAsia="zh-CN" w:bidi="ar"/>
              </w:rPr>
            </w:pP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1682" w:type="dxa"/>
            <w:shd w:val="clear" w:color="auto" w:fill="auto"/>
            <w:noWrap/>
            <w:vAlign w:val="center"/>
          </w:tcPr>
          <w:p w14:paraId="02581A08">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192</w:t>
            </w:r>
          </w:p>
        </w:tc>
        <w:tc>
          <w:tcPr>
            <w:tcW w:w="1682" w:type="dxa"/>
            <w:shd w:val="clear" w:color="auto" w:fill="auto"/>
            <w:noWrap/>
            <w:vAlign w:val="center"/>
          </w:tcPr>
          <w:p w14:paraId="08EB559D">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121</w:t>
            </w:r>
          </w:p>
        </w:tc>
        <w:tc>
          <w:tcPr>
            <w:tcW w:w="1682" w:type="dxa"/>
            <w:shd w:val="clear" w:color="auto" w:fill="auto"/>
            <w:noWrap/>
            <w:vAlign w:val="center"/>
          </w:tcPr>
          <w:p w14:paraId="47401E10">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71</w:t>
            </w:r>
          </w:p>
        </w:tc>
        <w:tc>
          <w:tcPr>
            <w:tcW w:w="888" w:type="pct"/>
            <w:shd w:val="clear" w:color="auto" w:fill="auto"/>
            <w:noWrap/>
            <w:vAlign w:val="center"/>
          </w:tcPr>
          <w:p w14:paraId="01CE14DD">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0"/>
                <w:sz w:val="24"/>
                <w:szCs w:val="24"/>
                <w:u w:val="none"/>
                <w:lang w:val="en-US" w:eastAsia="zh-CN" w:bidi="ar"/>
              </w:rPr>
            </w:pP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0" w:type="pct"/>
            <w:shd w:val="clear" w:color="auto" w:fill="auto"/>
            <w:noWrap/>
            <w:vAlign w:val="center"/>
          </w:tcPr>
          <w:p w14:paraId="6CB967B5">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904</w:t>
            </w:r>
          </w:p>
        </w:tc>
        <w:tc>
          <w:tcPr>
            <w:tcW w:w="890" w:type="pct"/>
            <w:shd w:val="clear" w:color="auto" w:fill="auto"/>
            <w:noWrap/>
            <w:vAlign w:val="center"/>
          </w:tcPr>
          <w:p w14:paraId="1FCC89AF">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0</w:t>
            </w:r>
          </w:p>
        </w:tc>
        <w:tc>
          <w:tcPr>
            <w:tcW w:w="890" w:type="pct"/>
            <w:shd w:val="clear" w:color="auto" w:fill="auto"/>
            <w:noWrap/>
            <w:vAlign w:val="center"/>
          </w:tcPr>
          <w:p w14:paraId="04CACD07">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904</w:t>
            </w:r>
          </w:p>
        </w:tc>
        <w:tc>
          <w:tcPr>
            <w:tcW w:w="888" w:type="pct"/>
            <w:shd w:val="clear" w:color="auto" w:fill="auto"/>
            <w:noWrap/>
            <w:vAlign w:val="center"/>
          </w:tcPr>
          <w:p w14:paraId="73283FD6">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0"/>
                <w:sz w:val="24"/>
                <w:szCs w:val="24"/>
                <w:u w:val="none"/>
                <w:lang w:val="en-US" w:eastAsia="zh-CN" w:bidi="ar"/>
              </w:rPr>
            </w:pP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0" w:type="pct"/>
            <w:shd w:val="clear" w:color="auto" w:fill="auto"/>
            <w:noWrap/>
            <w:vAlign w:val="center"/>
          </w:tcPr>
          <w:p w14:paraId="69C4A305">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cs="Times New Roman"/>
                <w:b/>
                <w:bCs/>
                <w:i w:val="0"/>
                <w:iCs w:val="0"/>
                <w:color w:val="000000"/>
                <w:kern w:val="0"/>
                <w:sz w:val="24"/>
                <w:szCs w:val="24"/>
                <w:u w:val="none"/>
                <w:lang w:val="en-US" w:eastAsia="zh-CN" w:bidi="ar"/>
              </w:rPr>
              <w:t>2840</w:t>
            </w:r>
          </w:p>
        </w:tc>
        <w:tc>
          <w:tcPr>
            <w:tcW w:w="890" w:type="pct"/>
            <w:shd w:val="clear" w:color="auto" w:fill="auto"/>
            <w:noWrap/>
            <w:vAlign w:val="center"/>
          </w:tcPr>
          <w:p w14:paraId="37AED740">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cs="Times New Roman"/>
                <w:b/>
                <w:bCs/>
                <w:i w:val="0"/>
                <w:iCs w:val="0"/>
                <w:color w:val="000000"/>
                <w:kern w:val="0"/>
                <w:sz w:val="24"/>
                <w:szCs w:val="24"/>
                <w:u w:val="none"/>
                <w:lang w:val="en-US" w:eastAsia="zh-CN" w:bidi="ar"/>
              </w:rPr>
              <w:t>1113</w:t>
            </w:r>
          </w:p>
        </w:tc>
        <w:tc>
          <w:tcPr>
            <w:tcW w:w="890" w:type="pct"/>
            <w:shd w:val="clear" w:color="auto" w:fill="auto"/>
            <w:noWrap/>
            <w:vAlign w:val="center"/>
          </w:tcPr>
          <w:p w14:paraId="49848352">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cs="Times New Roman"/>
                <w:b/>
                <w:bCs/>
                <w:i w:val="0"/>
                <w:iCs w:val="0"/>
                <w:color w:val="000000"/>
                <w:kern w:val="0"/>
                <w:sz w:val="24"/>
                <w:szCs w:val="24"/>
                <w:u w:val="none"/>
                <w:lang w:val="en-US" w:eastAsia="zh-CN" w:bidi="ar"/>
              </w:rPr>
              <w:t>1727</w:t>
            </w:r>
          </w:p>
        </w:tc>
        <w:tc>
          <w:tcPr>
            <w:tcW w:w="888" w:type="pct"/>
            <w:shd w:val="clear" w:color="auto" w:fill="auto"/>
            <w:noWrap/>
            <w:vAlign w:val="center"/>
          </w:tcPr>
          <w:p w14:paraId="7BAECF28">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2"/>
                <w:sz w:val="24"/>
                <w:szCs w:val="24"/>
                <w:u w:val="none"/>
                <w:lang w:val="en-US" w:eastAsia="zh-CN" w:bidi="ar-SA"/>
              </w:rPr>
            </w:pPr>
            <w:r>
              <w:rPr>
                <w:rFonts w:hint="default" w:ascii="Times New Roman" w:hAnsi="Times New Roman" w:eastAsia="宋体" w:cs="Times New Roman"/>
                <w:b/>
                <w:bCs/>
                <w:i w:val="0"/>
                <w:iCs w:val="0"/>
                <w:color w:val="000000"/>
                <w:kern w:val="0"/>
                <w:sz w:val="24"/>
                <w:szCs w:val="24"/>
                <w:u w:val="none"/>
                <w:lang w:val="en-US" w:eastAsia="zh-CN" w:bidi="ar"/>
              </w:rPr>
              <w:t>6</w:t>
            </w:r>
            <w:r>
              <w:rPr>
                <w:rFonts w:hint="eastAsia" w:cs="Times New Roman"/>
                <w:b/>
                <w:bCs/>
                <w:i w:val="0"/>
                <w:iCs w:val="0"/>
                <w:color w:val="000000"/>
                <w:kern w:val="0"/>
                <w:sz w:val="24"/>
                <w:szCs w:val="24"/>
                <w:u w:val="none"/>
                <w:lang w:val="en-US" w:eastAsia="zh-CN" w:bidi="ar"/>
              </w:rPr>
              <w:t>0.8</w:t>
            </w:r>
            <w:r>
              <w:rPr>
                <w:rFonts w:hint="default" w:ascii="Times New Roman" w:hAnsi="Times New Roman" w:eastAsia="宋体" w:cs="Times New Roman"/>
                <w:b/>
                <w:bCs/>
                <w:i w:val="0"/>
                <w:iCs w:val="0"/>
                <w:color w:val="000000"/>
                <w:kern w:val="0"/>
                <w:sz w:val="24"/>
                <w:szCs w:val="24"/>
                <w:u w:val="none"/>
                <w:lang w:val="en-US" w:eastAsia="zh-CN" w:bidi="ar"/>
              </w:rPr>
              <w:t>%</w:t>
            </w:r>
          </w:p>
        </w:tc>
      </w:tr>
    </w:tbl>
    <w:p w14:paraId="6D0FFB44">
      <w:pPr>
        <w:widowControl/>
        <w:jc w:val="left"/>
        <w:rPr>
          <w:sz w:val="24"/>
        </w:rPr>
      </w:pPr>
      <w:r>
        <w:rPr>
          <w:sz w:val="24"/>
        </w:rPr>
        <w:br w:type="page"/>
      </w:r>
    </w:p>
    <w:p w14:paraId="01DF53DF">
      <w:pPr>
        <w:pStyle w:val="3"/>
        <w:spacing w:line="360" w:lineRule="auto"/>
        <w:rPr>
          <w:sz w:val="24"/>
          <w:szCs w:val="22"/>
        </w:rPr>
      </w:pPr>
      <w:bookmarkStart w:id="20" w:name="_Toc197702701"/>
      <w:r>
        <w:t>教学计划进程表</w:t>
      </w:r>
      <w:bookmarkStart w:id="21" w:name="_Toc422736381"/>
      <w:r>
        <w:rPr>
          <w:rFonts w:hint="eastAsia"/>
          <w:vanish/>
          <w:color w:val="FF0000"/>
          <w:sz w:val="24"/>
          <w:szCs w:val="22"/>
        </w:rPr>
        <w:t>（</w:t>
      </w:r>
      <w:r>
        <w:rPr>
          <w:color w:val="FF0000"/>
          <w:sz w:val="24"/>
          <w:szCs w:val="22"/>
        </w:rPr>
        <w:t>课时和学分计算用公式</w:t>
      </w:r>
      <w:r>
        <w:rPr>
          <w:rFonts w:hint="eastAsia"/>
          <w:color w:val="FF0000"/>
          <w:sz w:val="24"/>
          <w:szCs w:val="22"/>
        </w:rPr>
        <w:t>，</w:t>
      </w:r>
    </w:p>
    <w:p w14:paraId="7B957867">
      <w:pPr>
        <w:pStyle w:val="3"/>
        <w:numPr>
          <w:ilvl w:val="0"/>
          <w:numId w:val="0"/>
        </w:numPr>
        <w:spacing w:line="360" w:lineRule="auto"/>
        <w:ind w:leftChars="-3"/>
      </w:pPr>
      <w:r>
        <w:drawing>
          <wp:inline distT="0" distB="0" distL="114300" distR="114300">
            <wp:extent cx="5994400" cy="8330565"/>
            <wp:effectExtent l="0" t="0" r="635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994400" cy="8330565"/>
                    </a:xfrm>
                    <a:prstGeom prst="rect">
                      <a:avLst/>
                    </a:prstGeom>
                    <a:noFill/>
                    <a:ln>
                      <a:noFill/>
                    </a:ln>
                  </pic:spPr>
                </pic:pic>
              </a:graphicData>
            </a:graphic>
          </wp:inline>
        </w:drawing>
      </w:r>
    </w:p>
    <w:p w14:paraId="70FBFE46">
      <w:pPr>
        <w:pStyle w:val="3"/>
        <w:numPr>
          <w:ilvl w:val="0"/>
          <w:numId w:val="0"/>
        </w:numPr>
        <w:spacing w:line="360" w:lineRule="auto"/>
        <w:ind w:leftChars="-3"/>
      </w:pPr>
    </w:p>
    <w:bookmarkEnd w:id="3"/>
    <w:bookmarkEnd w:id="20"/>
    <w:bookmarkEnd w:id="21"/>
    <w:p w14:paraId="39A7FEDA">
      <w:pPr>
        <w:pStyle w:val="3"/>
        <w:spacing w:line="360" w:lineRule="auto"/>
      </w:pPr>
      <w:bookmarkStart w:id="22" w:name="_Toc197702702"/>
      <w:bookmarkStart w:id="23" w:name="OLE_LINK2"/>
      <w:bookmarkStart w:id="24" w:name="OLE_LINK3"/>
      <w:r>
        <w:t>实施保障</w:t>
      </w:r>
      <w:bookmarkEnd w:id="22"/>
    </w:p>
    <w:p w14:paraId="084C3AC2">
      <w:pPr>
        <w:pStyle w:val="4"/>
        <w:spacing w:line="360" w:lineRule="auto"/>
        <w:rPr>
          <w:rFonts w:hint="eastAsia"/>
          <w:w w:val="99"/>
        </w:rPr>
      </w:pPr>
      <w:bookmarkStart w:id="25" w:name="_bookmark14"/>
      <w:bookmarkEnd w:id="25"/>
      <w:bookmarkStart w:id="26" w:name="_Toc197702703"/>
      <w:r>
        <w:t>（一）师资队伍</w:t>
      </w:r>
      <w:bookmarkEnd w:id="26"/>
    </w:p>
    <w:p w14:paraId="1533E88C">
      <w:pPr>
        <w:spacing w:line="360" w:lineRule="auto"/>
        <w:ind w:firstLine="480" w:firstLineChars="200"/>
        <w:rPr>
          <w:rFonts w:ascii="宋体" w:hAnsi="宋体"/>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rPr>
        <w:t xml:space="preserve">   </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7" w:name="_bookmark15"/>
      <w:bookmarkEnd w:id="27"/>
      <w:bookmarkStart w:id="28" w:name="_Toc197702704"/>
      <w:r>
        <w:t>（二）教学设施</w:t>
      </w:r>
      <w:bookmarkEnd w:id="28"/>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0D6D98EB">
      <w:pPr>
        <w:pageBreakBefore w:val="0"/>
        <w:kinsoku/>
        <w:wordWrap/>
        <w:overflowPunct/>
        <w:topLinePunct w:val="0"/>
        <w:autoSpaceDE/>
        <w:autoSpaceDN/>
        <w:bidi w:val="0"/>
        <w:adjustRightInd/>
        <w:spacing w:line="360" w:lineRule="auto"/>
        <w:ind w:firstLine="723" w:firstLineChars="300"/>
        <w:rPr>
          <w:rFonts w:ascii="宋体" w:hAnsi="宋体" w:cs="仿宋"/>
          <w:b/>
          <w:bCs/>
          <w:sz w:val="24"/>
        </w:rPr>
      </w:pPr>
      <w:r>
        <w:rPr>
          <w:rFonts w:hint="eastAsia" w:ascii="宋体" w:hAnsi="宋体" w:cs="仿宋"/>
          <w:b/>
          <w:bCs/>
          <w:sz w:val="24"/>
          <w:lang w:val="en-US" w:eastAsia="zh-CN"/>
        </w:rPr>
        <w:t>2.</w:t>
      </w:r>
      <w:r>
        <w:rPr>
          <w:rFonts w:hint="eastAsia" w:ascii="宋体" w:hAnsi="宋体" w:cs="仿宋"/>
          <w:b/>
          <w:bCs/>
          <w:sz w:val="24"/>
        </w:rPr>
        <w:t>1</w:t>
      </w:r>
      <w:r>
        <w:rPr>
          <w:rFonts w:ascii="宋体" w:hAnsi="宋体" w:cs="仿宋"/>
          <w:b/>
          <w:bCs/>
          <w:sz w:val="24"/>
        </w:rPr>
        <w:t>校内实训基地</w:t>
      </w:r>
    </w:p>
    <w:p w14:paraId="31456C3A">
      <w:pPr>
        <w:snapToGrid w:val="0"/>
        <w:spacing w:line="360" w:lineRule="auto"/>
        <w:ind w:firstLine="480" w:firstLineChars="200"/>
        <w:contextualSpacing/>
        <w:rPr>
          <w:sz w:val="24"/>
        </w:rPr>
      </w:pPr>
      <w:r>
        <w:rPr>
          <w:sz w:val="24"/>
        </w:rPr>
        <w:t>校内实训基地围绕</w:t>
      </w:r>
      <w:r>
        <w:rPr>
          <w:rFonts w:hint="eastAsia"/>
          <w:sz w:val="24"/>
          <w:lang w:val="en-US" w:eastAsia="zh-CN"/>
        </w:rPr>
        <w:t>应用英语</w:t>
      </w:r>
      <w:r>
        <w:rPr>
          <w:sz w:val="24"/>
        </w:rPr>
        <w:t>专业的基本技能、核心技能和拓展技能，以专业技能递进为主线进行建设。实训平台，设备先进、工位充足，贴近生产实际，为本专业所开设的课程进行理实一体化教学、岗位专项技能实训、工种考核等教学提供了保证。实训场所面积、设备设施、安全、环境、管理等符合教育部有关标准（规定、办法） ， 实训环境与设备设施对接真实职业场景或工作情境，实训项目注重工学结合、理实一体化， 实训指导教师配备合理，实训管理及实施规章制度齐全，确保能够顺利开展英语翻译、涉外 文秘、涉外企业服务、外事服务等实训活动。鼓励在实训中运用大数据、云计算、人工智 能、虚拟仿真等前沿信息技术。</w:t>
      </w:r>
    </w:p>
    <w:p w14:paraId="55569113">
      <w:pPr>
        <w:pageBreakBefore w:val="0"/>
        <w:kinsoku/>
        <w:wordWrap/>
        <w:overflowPunct/>
        <w:topLinePunct w:val="0"/>
        <w:autoSpaceDE/>
        <w:autoSpaceDN/>
        <w:bidi w:val="0"/>
        <w:adjustRightInd/>
        <w:spacing w:line="360" w:lineRule="auto"/>
        <w:ind w:firstLine="723" w:firstLineChars="300"/>
        <w:rPr>
          <w:rFonts w:ascii="宋体" w:hAnsi="宋体" w:cs="仿宋"/>
          <w:b/>
          <w:bCs/>
          <w:sz w:val="24"/>
        </w:rPr>
      </w:pPr>
      <w:r>
        <w:rPr>
          <w:rFonts w:hint="eastAsia" w:ascii="宋体" w:hAnsi="宋体" w:cs="仿宋"/>
          <w:b/>
          <w:bCs/>
          <w:sz w:val="24"/>
        </w:rPr>
        <w:t>2</w:t>
      </w:r>
      <w:r>
        <w:rPr>
          <w:rFonts w:ascii="宋体" w:hAnsi="宋体" w:cs="仿宋"/>
          <w:b/>
          <w:bCs/>
          <w:sz w:val="24"/>
        </w:rPr>
        <w:t>.</w:t>
      </w:r>
      <w:r>
        <w:rPr>
          <w:rFonts w:hint="eastAsia" w:ascii="宋体" w:hAnsi="宋体" w:cs="仿宋"/>
          <w:b/>
          <w:bCs/>
          <w:sz w:val="24"/>
          <w:lang w:val="en-US" w:eastAsia="zh-CN"/>
        </w:rPr>
        <w:t>2</w:t>
      </w:r>
      <w:r>
        <w:rPr>
          <w:rFonts w:ascii="宋体" w:hAnsi="宋体" w:cs="仿宋"/>
          <w:b/>
          <w:bCs/>
          <w:sz w:val="24"/>
        </w:rPr>
        <w:t>校外实训基地</w:t>
      </w:r>
    </w:p>
    <w:p w14:paraId="72B28195">
      <w:pPr>
        <w:snapToGrid w:val="0"/>
        <w:spacing w:line="360" w:lineRule="auto"/>
        <w:ind w:firstLine="480" w:firstLineChars="200"/>
        <w:contextualSpacing/>
        <w:rPr>
          <w:sz w:val="24"/>
        </w:rPr>
      </w:pPr>
      <w:r>
        <w:rPr>
          <w:sz w:val="24"/>
        </w:rPr>
        <w:t>根据本专业人才培养的需要和未来就业需求， 实习基地应能提供英语翻译、涉外文秘、 涉外企业服务、外事服务等与专业对口的相关实习岗位，能涵盖当前相关产业发展的主流技术，可接纳一定规模的学生实习； 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EE90004">
      <w:pPr>
        <w:pStyle w:val="4"/>
        <w:spacing w:line="360" w:lineRule="auto"/>
        <w:rPr>
          <w:rFonts w:hint="eastAsia"/>
        </w:rPr>
      </w:pPr>
      <w:bookmarkStart w:id="29" w:name="_bookmark16"/>
      <w:bookmarkEnd w:id="29"/>
      <w:bookmarkStart w:id="30" w:name="_Toc197702705"/>
      <w:r>
        <w:t>（三）教学资源</w:t>
      </w:r>
      <w:bookmarkEnd w:id="30"/>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专业类图书文献主要包括：有关技术、方法、思维以及实务操作类图书等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31" w:name="_Toc197702706"/>
      <w:r>
        <w:t>质量保障和毕业要求</w:t>
      </w:r>
      <w:bookmarkEnd w:id="31"/>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3"/>
      <w:bookmarkEnd w:id="24"/>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1">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437DE8D1"/>
    <w:multiLevelType w:val="singleLevel"/>
    <w:tmpl w:val="437DE8D1"/>
    <w:lvl w:ilvl="0" w:tentative="0">
      <w:start w:val="1"/>
      <w:numFmt w:val="decimal"/>
      <w:suff w:val="nothing"/>
      <w:lvlText w:val="（%1）"/>
      <w:lvlJc w:val="left"/>
    </w:lvl>
  </w:abstractNum>
  <w:abstractNum w:abstractNumId="4">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ADD6F9D"/>
    <w:rsid w:val="0E6C24E1"/>
    <w:rsid w:val="118B6EC1"/>
    <w:rsid w:val="370E348B"/>
    <w:rsid w:val="3DF7002A"/>
    <w:rsid w:val="6BBB5D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paragraph" w:customStyle="1" w:styleId="1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character" w:customStyle="1" w:styleId="163">
    <w:name w:val="font191"/>
    <w:basedOn w:val="21"/>
    <w:qFormat/>
    <w:uiPriority w:val="0"/>
    <w:rPr>
      <w:rFonts w:hint="eastAsia" w:ascii="宋体" w:hAnsi="宋体" w:eastAsia="宋体" w:cs="宋体"/>
      <w:color w:val="000000"/>
      <w:sz w:val="20"/>
      <w:szCs w:val="20"/>
      <w:u w:val="none"/>
    </w:rPr>
  </w:style>
  <w:style w:type="character" w:customStyle="1" w:styleId="164">
    <w:name w:val="font201"/>
    <w:basedOn w:val="21"/>
    <w:qFormat/>
    <w:uiPriority w:val="0"/>
    <w:rPr>
      <w:rFonts w:hint="default" w:ascii="Times New Roman" w:hAnsi="Times New Roman" w:cs="Times New Roman"/>
      <w:color w:val="000000"/>
      <w:sz w:val="20"/>
      <w:szCs w:val="20"/>
      <w:u w:val="none"/>
    </w:rPr>
  </w:style>
  <w:style w:type="character" w:customStyle="1" w:styleId="165">
    <w:name w:val="font211"/>
    <w:basedOn w:val="21"/>
    <w:qFormat/>
    <w:uiPriority w:val="0"/>
    <w:rPr>
      <w:rFonts w:hint="default" w:ascii="Times New Roman" w:hAnsi="Times New Roman" w:cs="Times New Roman"/>
      <w:color w:val="000000"/>
      <w:sz w:val="21"/>
      <w:szCs w:val="21"/>
      <w:u w:val="none"/>
    </w:rPr>
  </w:style>
  <w:style w:type="paragraph" w:customStyle="1" w:styleId="16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2861</Words>
  <Characters>2914</Characters>
  <Lines>49</Lines>
  <Paragraphs>13</Paragraphs>
  <TotalTime>46</TotalTime>
  <ScaleCrop>false</ScaleCrop>
  <LinksUpToDate>false</LinksUpToDate>
  <CharactersWithSpaces>3035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Administrator</cp:lastModifiedBy>
  <cp:lastPrinted>2025-05-12T02:07:00Z</cp:lastPrinted>
  <dcterms:modified xsi:type="dcterms:W3CDTF">2025-05-29T08:11:09Z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eyJoZGlkIjoiZTBhZDU4YjA1MmE0NTc2MTc2MjBhYzUzMjE1Y2MyZTcifQ==</vt:lpwstr>
  </property>
  <property fmtid="{D5CDD505-2E9C-101B-9397-08002B2CF9AE}" pid="3" name="KSOProductBuildVer">
    <vt:lpwstr>2052-12.1.0.21171</vt:lpwstr>
  </property>
  <property fmtid="{D5CDD505-2E9C-101B-9397-08002B2CF9AE}" pid="4" name="ICV">
    <vt:lpwstr>94D4C94B44C74D61B3D4CE61716633E8_12</vt:lpwstr>
  </property>
</Properties>
</file>