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color w:val="auto"/>
          <w:sz w:val="44"/>
          <w:szCs w:val="44"/>
          <w:highlight w:val="none"/>
        </w:rPr>
      </w:pPr>
      <w:bookmarkStart w:id="0" w:name="_Toc422736380"/>
      <w:bookmarkStart w:id="1" w:name="_Toc418758133"/>
      <w:bookmarkStart w:id="2" w:name="_Toc436086053"/>
      <w:bookmarkStart w:id="3" w:name="_Toc418758134"/>
    </w:p>
    <w:p w14:paraId="19CDD5C8">
      <w:pPr>
        <w:jc w:val="center"/>
        <w:rPr>
          <w:rFonts w:hint="eastAsia" w:ascii="华文中宋" w:hAnsi="华文中宋" w:eastAsia="华文中宋"/>
          <w:color w:val="auto"/>
          <w:sz w:val="44"/>
          <w:szCs w:val="44"/>
          <w:highlight w:val="none"/>
        </w:rPr>
      </w:pPr>
      <w:r>
        <w:rPr>
          <w:rFonts w:hint="eastAsia" w:ascii="华文中宋" w:hAnsi="华文中宋" w:eastAsia="华文中宋"/>
          <w:color w:val="auto"/>
          <w:sz w:val="44"/>
          <w:szCs w:val="44"/>
          <w:highlight w:val="none"/>
        </w:rPr>
        <w:t>2</w:t>
      </w:r>
      <w:r>
        <w:rPr>
          <w:rFonts w:ascii="华文中宋" w:hAnsi="华文中宋" w:eastAsia="华文中宋"/>
          <w:color w:val="auto"/>
          <w:sz w:val="44"/>
          <w:szCs w:val="44"/>
          <w:highlight w:val="none"/>
        </w:rPr>
        <w:t>02</w:t>
      </w:r>
      <w:r>
        <w:rPr>
          <w:rFonts w:hint="eastAsia" w:ascii="华文中宋" w:hAnsi="华文中宋" w:eastAsia="华文中宋"/>
          <w:color w:val="auto"/>
          <w:sz w:val="44"/>
          <w:szCs w:val="44"/>
          <w:highlight w:val="none"/>
        </w:rPr>
        <w:t>5级</w:t>
      </w:r>
      <w:r>
        <w:rPr>
          <w:rFonts w:ascii="华文中宋" w:hAnsi="华文中宋" w:eastAsia="华文中宋"/>
          <w:color w:val="auto"/>
          <w:sz w:val="44"/>
          <w:szCs w:val="44"/>
          <w:highlight w:val="none"/>
        </w:rPr>
        <w:t>专业人才培养方案</w:t>
      </w:r>
    </w:p>
    <w:p w14:paraId="74A9AF7E">
      <w:pPr>
        <w:jc w:val="center"/>
        <w:rPr>
          <w:rFonts w:hint="eastAsia" w:ascii="华文中宋" w:hAnsi="华文中宋" w:eastAsia="华文中宋"/>
          <w:color w:val="auto"/>
          <w:sz w:val="44"/>
          <w:szCs w:val="44"/>
          <w:highlight w:val="none"/>
        </w:rPr>
      </w:pPr>
    </w:p>
    <w:p w14:paraId="27E3FF49">
      <w:pPr>
        <w:jc w:val="center"/>
        <w:rPr>
          <w:rFonts w:hint="eastAsia" w:ascii="华文中宋" w:hAnsi="华文中宋" w:eastAsia="华文中宋"/>
          <w:color w:val="auto"/>
          <w:sz w:val="44"/>
          <w:szCs w:val="44"/>
          <w:highlight w:val="none"/>
        </w:rPr>
      </w:pPr>
    </w:p>
    <w:p w14:paraId="5F7A45AE">
      <w:pPr>
        <w:jc w:val="center"/>
        <w:rPr>
          <w:rFonts w:hint="eastAsia" w:ascii="华文中宋" w:hAnsi="华文中宋" w:eastAsia="华文中宋"/>
          <w:color w:val="auto"/>
          <w:sz w:val="44"/>
          <w:szCs w:val="44"/>
          <w:highlight w:val="none"/>
        </w:rPr>
      </w:pPr>
    </w:p>
    <w:p w14:paraId="79C7628F">
      <w:pPr>
        <w:jc w:val="center"/>
        <w:rPr>
          <w:rFonts w:hint="eastAsia" w:ascii="华文中宋" w:hAnsi="华文中宋" w:eastAsia="华文中宋"/>
          <w:color w:val="auto"/>
          <w:sz w:val="44"/>
          <w:szCs w:val="44"/>
          <w:highlight w:val="none"/>
        </w:rPr>
      </w:pPr>
    </w:p>
    <w:p w14:paraId="01449820">
      <w:pPr>
        <w:jc w:val="center"/>
        <w:rPr>
          <w:rFonts w:hint="eastAsia" w:ascii="华文中宋" w:hAnsi="华文中宋" w:eastAsia="华文中宋"/>
          <w:color w:val="auto"/>
          <w:sz w:val="44"/>
          <w:szCs w:val="44"/>
          <w:highlight w:val="none"/>
        </w:rPr>
      </w:pPr>
    </w:p>
    <w:p w14:paraId="3FB2C990">
      <w:pPr>
        <w:pStyle w:val="137"/>
        <w:ind w:firstLine="480"/>
        <w:rPr>
          <w:rFonts w:hint="eastAsia" w:ascii="宋体" w:eastAsia="宋体"/>
          <w:color w:val="auto"/>
          <w:szCs w:val="24"/>
          <w:highlight w:val="none"/>
        </w:rPr>
      </w:pPr>
    </w:p>
    <w:p w14:paraId="163C1C65">
      <w:pPr>
        <w:jc w:val="center"/>
        <w:rPr>
          <w:rFonts w:hint="eastAsia" w:ascii="华文中宋" w:hAnsi="华文中宋" w:eastAsia="华文中宋"/>
          <w:color w:val="auto"/>
          <w:sz w:val="44"/>
          <w:szCs w:val="44"/>
          <w:highlight w:val="none"/>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color w:val="auto"/>
                <w:sz w:val="32"/>
                <w:szCs w:val="32"/>
                <w:highlight w:val="none"/>
              </w:rPr>
            </w:pPr>
            <w:r>
              <w:rPr>
                <w:rFonts w:hint="eastAsia" w:ascii="仿宋" w:hAnsi="仿宋" w:eastAsia="仿宋"/>
                <w:color w:val="auto"/>
                <w:kern w:val="0"/>
                <w:sz w:val="32"/>
                <w:szCs w:val="32"/>
                <w:highlight w:val="none"/>
              </w:rPr>
              <w:t>二级学院</w:t>
            </w:r>
          </w:p>
        </w:tc>
        <w:tc>
          <w:tcPr>
            <w:tcW w:w="4189" w:type="dxa"/>
            <w:tcBorders>
              <w:bottom w:val="single" w:color="auto" w:sz="4" w:space="0"/>
            </w:tcBorders>
            <w:vAlign w:val="bottom"/>
          </w:tcPr>
          <w:p w14:paraId="39594C82">
            <w:pPr>
              <w:jc w:val="center"/>
              <w:rPr>
                <w:rFonts w:hint="default" w:ascii="仿宋" w:hAnsi="仿宋" w:eastAsia="仿宋"/>
                <w:color w:val="auto"/>
                <w:sz w:val="32"/>
                <w:szCs w:val="32"/>
                <w:highlight w:val="none"/>
                <w:lang w:val="en-US"/>
              </w:rPr>
            </w:pPr>
            <w:r>
              <w:rPr>
                <w:rFonts w:hint="eastAsia" w:ascii="仿宋" w:hAnsi="仿宋" w:eastAsia="仿宋"/>
                <w:color w:val="auto"/>
                <w:sz w:val="32"/>
                <w:szCs w:val="32"/>
                <w:highlight w:val="none"/>
                <w:lang w:val="en-US" w:eastAsia="zh-CN"/>
              </w:rPr>
              <w:t>现代服务与管理学院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color w:val="auto"/>
                <w:sz w:val="32"/>
                <w:szCs w:val="32"/>
                <w:highlight w:val="none"/>
              </w:rPr>
            </w:pPr>
            <w:r>
              <w:rPr>
                <w:rFonts w:hint="eastAsia" w:ascii="仿宋" w:hAnsi="仿宋" w:eastAsia="仿宋"/>
                <w:color w:val="auto"/>
                <w:spacing w:val="160"/>
                <w:kern w:val="0"/>
                <w:sz w:val="32"/>
                <w:szCs w:val="32"/>
                <w:highlight w:val="none"/>
                <w:fitText w:val="960" w:id="-1152245247"/>
              </w:rPr>
              <w:t>专</w:t>
            </w:r>
            <w:r>
              <w:rPr>
                <w:rFonts w:hint="eastAsia" w:ascii="仿宋" w:hAnsi="仿宋" w:eastAsia="仿宋"/>
                <w:color w:val="auto"/>
                <w:spacing w:val="0"/>
                <w:kern w:val="0"/>
                <w:sz w:val="32"/>
                <w:szCs w:val="32"/>
                <w:highlight w:val="none"/>
                <w:fitText w:val="960" w:id="-1152245247"/>
              </w:rPr>
              <w:t>业</w:t>
            </w:r>
          </w:p>
        </w:tc>
        <w:tc>
          <w:tcPr>
            <w:tcW w:w="4189" w:type="dxa"/>
            <w:tcBorders>
              <w:top w:val="single" w:color="auto" w:sz="4" w:space="0"/>
              <w:bottom w:val="single" w:color="auto" w:sz="4" w:space="0"/>
            </w:tcBorders>
            <w:shd w:val="clear" w:color="auto" w:fill="auto"/>
            <w:vAlign w:val="bottom"/>
          </w:tcPr>
          <w:p w14:paraId="6B9DF9D7">
            <w:pPr>
              <w:pageBreakBefore w:val="0"/>
              <w:kinsoku/>
              <w:wordWrap/>
              <w:overflowPunct/>
              <w:topLinePunct w:val="0"/>
              <w:autoSpaceDE/>
              <w:autoSpaceDN/>
              <w:bidi w:val="0"/>
              <w:adjustRightInd/>
              <w:spacing w:line="360" w:lineRule="auto"/>
              <w:jc w:val="center"/>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olor w:val="auto"/>
                <w:sz w:val="32"/>
                <w:szCs w:val="32"/>
                <w:highlight w:val="none"/>
                <w:lang w:val="en-US" w:eastAsia="zh-CN"/>
              </w:rPr>
              <w:t>婴幼儿托育服务与管理</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编写人员</w:t>
            </w:r>
          </w:p>
        </w:tc>
        <w:tc>
          <w:tcPr>
            <w:tcW w:w="4189" w:type="dxa"/>
            <w:tcBorders>
              <w:top w:val="single" w:color="auto" w:sz="4" w:space="0"/>
              <w:bottom w:val="single" w:color="auto" w:sz="4" w:space="0"/>
            </w:tcBorders>
            <w:shd w:val="clear" w:color="auto" w:fill="auto"/>
            <w:vAlign w:val="bottom"/>
          </w:tcPr>
          <w:p w14:paraId="1BA29DFB">
            <w:pPr>
              <w:pageBreakBefore w:val="0"/>
              <w:kinsoku/>
              <w:wordWrap/>
              <w:overflowPunct/>
              <w:topLinePunct w:val="0"/>
              <w:autoSpaceDE/>
              <w:autoSpaceDN/>
              <w:bidi w:val="0"/>
              <w:adjustRightInd/>
              <w:spacing w:line="360" w:lineRule="auto"/>
              <w:jc w:val="center"/>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olor w:val="auto"/>
                <w:sz w:val="32"/>
                <w:szCs w:val="32"/>
                <w:highlight w:val="none"/>
                <w:lang w:val="en-US" w:eastAsia="zh-CN"/>
              </w:rPr>
              <w:t>杨  枭</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color w:val="auto"/>
                <w:sz w:val="32"/>
                <w:szCs w:val="32"/>
                <w:highlight w:val="none"/>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color w:val="auto"/>
                <w:sz w:val="32"/>
                <w:szCs w:val="32"/>
                <w:highlight w:val="none"/>
              </w:rPr>
            </w:pPr>
            <w:r>
              <w:rPr>
                <w:rFonts w:hint="eastAsia" w:ascii="仿宋" w:hAnsi="仿宋" w:eastAsia="仿宋"/>
                <w:color w:val="auto"/>
                <w:sz w:val="32"/>
                <w:szCs w:val="32"/>
                <w:highlight w:val="none"/>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color w:val="auto"/>
                <w:sz w:val="32"/>
                <w:szCs w:val="32"/>
                <w:highlight w:val="none"/>
              </w:rPr>
            </w:pPr>
          </w:p>
        </w:tc>
      </w:tr>
    </w:tbl>
    <w:p w14:paraId="6EDE5B54">
      <w:pPr>
        <w:jc w:val="center"/>
        <w:rPr>
          <w:rFonts w:hint="eastAsia" w:ascii="仿宋" w:hAnsi="仿宋" w:eastAsia="仿宋"/>
          <w:color w:val="auto"/>
          <w:sz w:val="32"/>
          <w:szCs w:val="32"/>
          <w:highlight w:val="none"/>
        </w:rPr>
      </w:pPr>
    </w:p>
    <w:p w14:paraId="17501257">
      <w:pPr>
        <w:jc w:val="center"/>
        <w:rPr>
          <w:rFonts w:hint="eastAsia" w:ascii="仿宋" w:hAnsi="仿宋" w:eastAsia="仿宋"/>
          <w:color w:val="auto"/>
          <w:sz w:val="32"/>
          <w:szCs w:val="32"/>
          <w:highlight w:val="none"/>
        </w:rPr>
      </w:pPr>
    </w:p>
    <w:p w14:paraId="71C3840B">
      <w:pPr>
        <w:jc w:val="center"/>
        <w:rPr>
          <w:rFonts w:hint="eastAsia" w:ascii="仿宋" w:hAnsi="仿宋" w:eastAsia="仿宋"/>
          <w:color w:val="auto"/>
          <w:sz w:val="32"/>
          <w:szCs w:val="32"/>
          <w:highlight w:val="none"/>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color w:val="auto"/>
          <w:sz w:val="32"/>
          <w:szCs w:val="32"/>
          <w:highlight w:val="none"/>
        </w:rPr>
        <w:t>二〇二五年</w:t>
      </w:r>
    </w:p>
    <w:sdt>
      <w:sdtPr>
        <w:rPr>
          <w:rFonts w:ascii="Times New Roman" w:hAnsi="Times New Roman"/>
          <w:color w:val="auto"/>
          <w:kern w:val="2"/>
          <w:sz w:val="21"/>
          <w:szCs w:val="24"/>
          <w:highlight w:val="none"/>
          <w:lang w:val="zh-CN"/>
        </w:rPr>
        <w:id w:val="-15850933"/>
        <w:docPartObj>
          <w:docPartGallery w:val="Table of Contents"/>
          <w:docPartUnique/>
        </w:docPartObj>
      </w:sdtPr>
      <w:sdtEndPr>
        <w:rPr>
          <w:rFonts w:ascii="Times New Roman" w:hAnsi="Times New Roman"/>
          <w:b/>
          <w:bCs/>
          <w:color w:val="auto"/>
          <w:kern w:val="2"/>
          <w:sz w:val="24"/>
          <w:szCs w:val="24"/>
          <w:highlight w:val="none"/>
          <w:lang w:val="zh-CN"/>
        </w:rPr>
      </w:sdtEndPr>
      <w:sdtContent>
        <w:p w14:paraId="43D5509D">
          <w:pPr>
            <w:pStyle w:val="96"/>
            <w:jc w:val="center"/>
            <w:rPr>
              <w:color w:val="auto"/>
              <w:highlight w:val="none"/>
            </w:rPr>
          </w:pPr>
          <w:r>
            <w:rPr>
              <w:color w:val="auto"/>
              <w:highlight w:val="none"/>
              <w:lang w:val="zh-CN"/>
            </w:rPr>
            <w:t>目录</w:t>
          </w:r>
        </w:p>
        <w:p w14:paraId="785B5C25">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sz w:val="24"/>
              <w:highlight w:val="none"/>
            </w:rPr>
            <w:fldChar w:fldCharType="begin"/>
          </w:r>
          <w:r>
            <w:rPr>
              <w:color w:val="auto"/>
              <w:sz w:val="24"/>
              <w:highlight w:val="none"/>
            </w:rPr>
            <w:instrText xml:space="preserve"> TOC \o "1-3" \h \z \u </w:instrText>
          </w:r>
          <w:r>
            <w:rPr>
              <w:color w:val="auto"/>
              <w:sz w:val="24"/>
              <w:highlight w:val="none"/>
            </w:rPr>
            <w:fldChar w:fldCharType="separate"/>
          </w:r>
          <w:r>
            <w:rPr>
              <w:color w:val="auto"/>
              <w:highlight w:val="none"/>
            </w:rPr>
            <w:fldChar w:fldCharType="begin"/>
          </w:r>
          <w:r>
            <w:rPr>
              <w:color w:val="auto"/>
              <w:highlight w:val="none"/>
            </w:rPr>
            <w:instrText xml:space="preserve"> HYPERLINK \l "_Toc197702688" </w:instrText>
          </w:r>
          <w:r>
            <w:rPr>
              <w:color w:val="auto"/>
              <w:highlight w:val="none"/>
            </w:rPr>
            <w:fldChar w:fldCharType="separate"/>
          </w:r>
          <w:r>
            <w:rPr>
              <w:rStyle w:val="24"/>
              <w:rFonts w:hint="eastAsia"/>
              <w:color w:val="auto"/>
              <w:highlight w:val="none"/>
            </w:rPr>
            <w:t>一、 专业名称与代码</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_Toc197702688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- 1 -</w:t>
          </w:r>
          <w:r>
            <w:rPr>
              <w:rFonts w:hint="eastAsia"/>
              <w:color w:val="auto"/>
              <w:highlight w:val="none"/>
            </w:rPr>
            <w:fldChar w:fldCharType="end"/>
          </w:r>
          <w:r>
            <w:rPr>
              <w:rFonts w:hint="eastAsia"/>
              <w:color w:val="auto"/>
              <w:highlight w:val="none"/>
            </w:rPr>
            <w:fldChar w:fldCharType="end"/>
          </w:r>
        </w:p>
        <w:p w14:paraId="63EAF40C">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"_Toc197702689" </w:instrText>
          </w:r>
          <w:r>
            <w:rPr>
              <w:color w:val="auto"/>
              <w:highlight w:val="none"/>
            </w:rPr>
            <w:fldChar w:fldCharType="separate"/>
          </w:r>
          <w:r>
            <w:rPr>
              <w:rStyle w:val="24"/>
              <w:rFonts w:hint="eastAsia"/>
              <w:color w:val="auto"/>
              <w:highlight w:val="none"/>
            </w:rPr>
            <w:t>二、 培养对象与学制</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_Toc197702689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- 1 -</w:t>
          </w:r>
          <w:r>
            <w:rPr>
              <w:rFonts w:hint="eastAsia"/>
              <w:color w:val="auto"/>
              <w:highlight w:val="none"/>
            </w:rPr>
            <w:fldChar w:fldCharType="end"/>
          </w:r>
          <w:r>
            <w:rPr>
              <w:rFonts w:hint="eastAsia"/>
              <w:color w:val="auto"/>
              <w:highlight w:val="none"/>
            </w:rPr>
            <w:fldChar w:fldCharType="end"/>
          </w:r>
        </w:p>
        <w:p w14:paraId="47A14CE5">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"_Toc197702690" </w:instrText>
          </w:r>
          <w:r>
            <w:rPr>
              <w:color w:val="auto"/>
              <w:highlight w:val="none"/>
            </w:rPr>
            <w:fldChar w:fldCharType="separate"/>
          </w:r>
          <w:r>
            <w:rPr>
              <w:rStyle w:val="24"/>
              <w:rFonts w:hint="eastAsia"/>
              <w:color w:val="auto"/>
              <w:highlight w:val="none"/>
            </w:rPr>
            <w:t>三、 职业面向（参照教育部标准）</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_Toc197702690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- 1 -</w:t>
          </w:r>
          <w:r>
            <w:rPr>
              <w:rFonts w:hint="eastAsia"/>
              <w:color w:val="auto"/>
              <w:highlight w:val="none"/>
            </w:rPr>
            <w:fldChar w:fldCharType="end"/>
          </w:r>
          <w:r>
            <w:rPr>
              <w:rFonts w:hint="eastAsia"/>
              <w:color w:val="auto"/>
              <w:highlight w:val="none"/>
            </w:rPr>
            <w:fldChar w:fldCharType="end"/>
          </w:r>
        </w:p>
        <w:p w14:paraId="120FD38C">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"_Toc197702691" </w:instrText>
          </w:r>
          <w:r>
            <w:rPr>
              <w:color w:val="auto"/>
              <w:highlight w:val="none"/>
            </w:rPr>
            <w:fldChar w:fldCharType="separate"/>
          </w:r>
          <w:r>
            <w:rPr>
              <w:rStyle w:val="24"/>
              <w:rFonts w:hint="eastAsia"/>
              <w:color w:val="auto"/>
              <w:highlight w:val="none"/>
            </w:rPr>
            <w:t>四、 培养目标（参照教育部标准）</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_Toc197702691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- 1 -</w:t>
          </w:r>
          <w:r>
            <w:rPr>
              <w:rFonts w:hint="eastAsia"/>
              <w:color w:val="auto"/>
              <w:highlight w:val="none"/>
            </w:rPr>
            <w:fldChar w:fldCharType="end"/>
          </w:r>
          <w:r>
            <w:rPr>
              <w:rFonts w:hint="eastAsia"/>
              <w:color w:val="auto"/>
              <w:highlight w:val="none"/>
            </w:rPr>
            <w:fldChar w:fldCharType="end"/>
          </w:r>
        </w:p>
        <w:p w14:paraId="043359FC">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"_Toc197702692" </w:instrText>
          </w:r>
          <w:r>
            <w:rPr>
              <w:color w:val="auto"/>
              <w:highlight w:val="none"/>
            </w:rPr>
            <w:fldChar w:fldCharType="separate"/>
          </w:r>
          <w:r>
            <w:rPr>
              <w:rStyle w:val="24"/>
              <w:rFonts w:hint="eastAsia"/>
              <w:color w:val="auto"/>
              <w:highlight w:val="none"/>
            </w:rPr>
            <w:t>五、 培养规格（参照教育部标准）</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_Toc197702692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- 1 -</w:t>
          </w:r>
          <w:r>
            <w:rPr>
              <w:rFonts w:hint="eastAsia"/>
              <w:color w:val="auto"/>
              <w:highlight w:val="none"/>
            </w:rPr>
            <w:fldChar w:fldCharType="end"/>
          </w:r>
          <w:r>
            <w:rPr>
              <w:rFonts w:hint="eastAsia"/>
              <w:color w:val="auto"/>
              <w:highlight w:val="none"/>
            </w:rPr>
            <w:fldChar w:fldCharType="end"/>
          </w:r>
        </w:p>
        <w:p w14:paraId="410FCDE5">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"_Toc197702693" </w:instrText>
          </w:r>
          <w:r>
            <w:rPr>
              <w:color w:val="auto"/>
              <w:highlight w:val="none"/>
            </w:rPr>
            <w:fldChar w:fldCharType="separate"/>
          </w:r>
          <w:r>
            <w:rPr>
              <w:rStyle w:val="24"/>
              <w:rFonts w:hint="eastAsia"/>
              <w:color w:val="auto"/>
              <w:highlight w:val="none"/>
            </w:rPr>
            <w:t>六、 课程设置及学时安排（参照教育部标准）</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_Toc197702693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- 1 -</w:t>
          </w:r>
          <w:r>
            <w:rPr>
              <w:rFonts w:hint="eastAsia"/>
              <w:color w:val="auto"/>
              <w:highlight w:val="none"/>
            </w:rPr>
            <w:fldChar w:fldCharType="end"/>
          </w:r>
          <w:r>
            <w:rPr>
              <w:rFonts w:hint="eastAsia"/>
              <w:color w:val="auto"/>
              <w:highlight w:val="none"/>
            </w:rPr>
            <w:fldChar w:fldCharType="end"/>
          </w:r>
        </w:p>
        <w:p w14:paraId="165AB09F">
          <w:pPr>
            <w:pStyle w:val="8"/>
            <w:tabs>
              <w:tab w:val="right" w:leader="dot" w:pos="9440"/>
            </w:tabs>
            <w:rPr>
              <w:rFonts w:hint="eastAsia" w:asciiTheme="minorHAnsi" w:hAnsiTheme="minorHAnsi" w:eastAsiaTheme="minorEastAsia" w:cstheme="minorBidi"/>
              <w:color w:val="auto"/>
              <w:sz w:val="22"/>
              <w:highlight w:val="none"/>
              <w14:ligatures w14:val="standardContextual"/>
            </w:rPr>
          </w:pPr>
          <w:r>
            <w:rPr>
              <w:color w:val="auto"/>
              <w:highlight w:val="none"/>
            </w:rPr>
            <w:fldChar w:fldCharType="begin"/>
          </w:r>
          <w:r>
            <w:rPr>
              <w:color w:val="auto"/>
              <w:highlight w:val="none"/>
            </w:rPr>
            <w:instrText xml:space="preserve"> HYPERLINK \l "_Toc197702694" </w:instrText>
          </w:r>
          <w:r>
            <w:rPr>
              <w:color w:val="auto"/>
              <w:highlight w:val="none"/>
            </w:rPr>
            <w:fldChar w:fldCharType="separate"/>
          </w:r>
          <w:r>
            <w:rPr>
              <w:rStyle w:val="24"/>
              <w:rFonts w:hint="eastAsia"/>
              <w:color w:val="auto"/>
              <w:highlight w:val="none"/>
            </w:rPr>
            <w:t>1． 公共基础课程</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_Toc197702694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- 1 -</w:t>
          </w:r>
          <w:r>
            <w:rPr>
              <w:rFonts w:hint="eastAsia"/>
              <w:color w:val="auto"/>
              <w:highlight w:val="none"/>
            </w:rPr>
            <w:fldChar w:fldCharType="end"/>
          </w:r>
          <w:r>
            <w:rPr>
              <w:rFonts w:hint="eastAsia"/>
              <w:color w:val="auto"/>
              <w:highlight w:val="none"/>
            </w:rPr>
            <w:fldChar w:fldCharType="end"/>
          </w:r>
        </w:p>
        <w:p w14:paraId="303682DA">
          <w:pPr>
            <w:pStyle w:val="8"/>
            <w:tabs>
              <w:tab w:val="right" w:leader="dot" w:pos="9440"/>
            </w:tabs>
            <w:rPr>
              <w:rFonts w:hint="eastAsia" w:asciiTheme="minorHAnsi" w:hAnsiTheme="minorHAnsi" w:eastAsiaTheme="minorEastAsia" w:cstheme="minorBidi"/>
              <w:color w:val="auto"/>
              <w:sz w:val="22"/>
              <w:highlight w:val="none"/>
              <w14:ligatures w14:val="standardContextual"/>
            </w:rPr>
          </w:pPr>
          <w:r>
            <w:rPr>
              <w:color w:val="auto"/>
              <w:highlight w:val="none"/>
            </w:rPr>
            <w:fldChar w:fldCharType="begin"/>
          </w:r>
          <w:r>
            <w:rPr>
              <w:color w:val="auto"/>
              <w:highlight w:val="none"/>
            </w:rPr>
            <w:instrText xml:space="preserve"> HYPERLINK \l "_Toc197702695" </w:instrText>
          </w:r>
          <w:r>
            <w:rPr>
              <w:color w:val="auto"/>
              <w:highlight w:val="none"/>
            </w:rPr>
            <w:fldChar w:fldCharType="separate"/>
          </w:r>
          <w:r>
            <w:rPr>
              <w:rStyle w:val="24"/>
              <w:rFonts w:hint="eastAsia"/>
              <w:color w:val="auto"/>
              <w:highlight w:val="none"/>
            </w:rPr>
            <w:t>2． 专业课程</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_Toc197702695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- 1 -</w:t>
          </w:r>
          <w:r>
            <w:rPr>
              <w:rFonts w:hint="eastAsia"/>
              <w:color w:val="auto"/>
              <w:highlight w:val="none"/>
            </w:rPr>
            <w:fldChar w:fldCharType="end"/>
          </w:r>
          <w:r>
            <w:rPr>
              <w:rFonts w:hint="eastAsia"/>
              <w:color w:val="auto"/>
              <w:highlight w:val="none"/>
            </w:rPr>
            <w:fldChar w:fldCharType="end"/>
          </w:r>
        </w:p>
        <w:p w14:paraId="3646BCCA">
          <w:pPr>
            <w:pStyle w:val="8"/>
            <w:tabs>
              <w:tab w:val="right" w:leader="dot" w:pos="9440"/>
            </w:tabs>
            <w:rPr>
              <w:rFonts w:hint="eastAsia" w:asciiTheme="minorHAnsi" w:hAnsiTheme="minorHAnsi" w:eastAsiaTheme="minorEastAsia" w:cstheme="minorBidi"/>
              <w:color w:val="auto"/>
              <w:sz w:val="22"/>
              <w:highlight w:val="none"/>
              <w14:ligatures w14:val="standardContextual"/>
            </w:rPr>
          </w:pPr>
          <w:r>
            <w:rPr>
              <w:color w:val="auto"/>
              <w:highlight w:val="none"/>
            </w:rPr>
            <w:fldChar w:fldCharType="begin"/>
          </w:r>
          <w:r>
            <w:rPr>
              <w:color w:val="auto"/>
              <w:highlight w:val="none"/>
            </w:rPr>
            <w:instrText xml:space="preserve"> HYPERLINK \l "_Toc197702696" </w:instrText>
          </w:r>
          <w:r>
            <w:rPr>
              <w:color w:val="auto"/>
              <w:highlight w:val="none"/>
            </w:rPr>
            <w:fldChar w:fldCharType="separate"/>
          </w:r>
          <w:r>
            <w:rPr>
              <w:rStyle w:val="24"/>
              <w:rFonts w:hint="eastAsia"/>
              <w:color w:val="auto"/>
              <w:highlight w:val="none"/>
            </w:rPr>
            <w:t>3． 实践性教学环节</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_Toc197702696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- 2 -</w:t>
          </w:r>
          <w:r>
            <w:rPr>
              <w:rFonts w:hint="eastAsia"/>
              <w:color w:val="auto"/>
              <w:highlight w:val="none"/>
            </w:rPr>
            <w:fldChar w:fldCharType="end"/>
          </w:r>
          <w:r>
            <w:rPr>
              <w:rFonts w:hint="eastAsia"/>
              <w:color w:val="auto"/>
              <w:highlight w:val="none"/>
            </w:rPr>
            <w:fldChar w:fldCharType="end"/>
          </w:r>
        </w:p>
        <w:p w14:paraId="52C551D2">
          <w:pPr>
            <w:pStyle w:val="8"/>
            <w:tabs>
              <w:tab w:val="right" w:leader="dot" w:pos="9440"/>
            </w:tabs>
            <w:rPr>
              <w:rFonts w:hint="eastAsia" w:asciiTheme="minorHAnsi" w:hAnsiTheme="minorHAnsi" w:eastAsiaTheme="minorEastAsia" w:cstheme="minorBidi"/>
              <w:color w:val="auto"/>
              <w:sz w:val="22"/>
              <w:highlight w:val="none"/>
              <w14:ligatures w14:val="standardContextual"/>
            </w:rPr>
          </w:pPr>
          <w:r>
            <w:rPr>
              <w:color w:val="auto"/>
              <w:highlight w:val="none"/>
            </w:rPr>
            <w:fldChar w:fldCharType="begin"/>
          </w:r>
          <w:r>
            <w:rPr>
              <w:color w:val="auto"/>
              <w:highlight w:val="none"/>
            </w:rPr>
            <w:instrText xml:space="preserve"> HYPERLINK \l "_Toc197702697" </w:instrText>
          </w:r>
          <w:r>
            <w:rPr>
              <w:color w:val="auto"/>
              <w:highlight w:val="none"/>
            </w:rPr>
            <w:fldChar w:fldCharType="separate"/>
          </w:r>
          <w:r>
            <w:rPr>
              <w:rStyle w:val="24"/>
              <w:rFonts w:hint="eastAsia"/>
              <w:color w:val="auto"/>
              <w:highlight w:val="none"/>
            </w:rPr>
            <w:t>4． 相关要求</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_Toc197702697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- 2 -</w:t>
          </w:r>
          <w:r>
            <w:rPr>
              <w:rFonts w:hint="eastAsia"/>
              <w:color w:val="auto"/>
              <w:highlight w:val="none"/>
            </w:rPr>
            <w:fldChar w:fldCharType="end"/>
          </w:r>
          <w:r>
            <w:rPr>
              <w:rFonts w:hint="eastAsia"/>
              <w:color w:val="auto"/>
              <w:highlight w:val="none"/>
            </w:rPr>
            <w:fldChar w:fldCharType="end"/>
          </w:r>
        </w:p>
        <w:p w14:paraId="76E0C738">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"_Toc197702698" </w:instrText>
          </w:r>
          <w:r>
            <w:rPr>
              <w:color w:val="auto"/>
              <w:highlight w:val="none"/>
            </w:rPr>
            <w:fldChar w:fldCharType="separate"/>
          </w:r>
          <w:r>
            <w:rPr>
              <w:rStyle w:val="24"/>
              <w:rFonts w:hint="eastAsia"/>
              <w:color w:val="auto"/>
              <w:highlight w:val="none"/>
            </w:rPr>
            <w:t>七、 学时安排</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_Toc197702698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- 2 -</w:t>
          </w:r>
          <w:r>
            <w:rPr>
              <w:rFonts w:hint="eastAsia"/>
              <w:color w:val="auto"/>
              <w:highlight w:val="none"/>
            </w:rPr>
            <w:fldChar w:fldCharType="end"/>
          </w:r>
          <w:r>
            <w:rPr>
              <w:rFonts w:hint="eastAsia"/>
              <w:color w:val="auto"/>
              <w:highlight w:val="none"/>
            </w:rPr>
            <w:fldChar w:fldCharType="end"/>
          </w:r>
        </w:p>
        <w:p w14:paraId="284798B2">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"_Toc197702699" </w:instrText>
          </w:r>
          <w:r>
            <w:rPr>
              <w:color w:val="auto"/>
              <w:highlight w:val="none"/>
            </w:rPr>
            <w:fldChar w:fldCharType="separate"/>
          </w:r>
          <w:r>
            <w:rPr>
              <w:rStyle w:val="24"/>
              <w:rFonts w:hint="eastAsia"/>
              <w:color w:val="auto"/>
              <w:highlight w:val="none"/>
            </w:rPr>
            <w:t>八、 教学活动时间分配表</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_Toc197702699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- 3 -</w:t>
          </w:r>
          <w:r>
            <w:rPr>
              <w:rFonts w:hint="eastAsia"/>
              <w:color w:val="auto"/>
              <w:highlight w:val="none"/>
            </w:rPr>
            <w:fldChar w:fldCharType="end"/>
          </w:r>
          <w:r>
            <w:rPr>
              <w:rFonts w:hint="eastAsia"/>
              <w:color w:val="auto"/>
              <w:highlight w:val="none"/>
            </w:rPr>
            <w:fldChar w:fldCharType="end"/>
          </w:r>
        </w:p>
        <w:p w14:paraId="5DB9A720">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"_Toc197702700" </w:instrText>
          </w:r>
          <w:r>
            <w:rPr>
              <w:color w:val="auto"/>
              <w:highlight w:val="none"/>
            </w:rPr>
            <w:fldChar w:fldCharType="separate"/>
          </w:r>
          <w:r>
            <w:rPr>
              <w:rStyle w:val="24"/>
              <w:rFonts w:hint="eastAsia"/>
              <w:color w:val="auto"/>
              <w:highlight w:val="none"/>
            </w:rPr>
            <w:t>九、 学时分配比例表</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_Toc197702700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- 3 -</w:t>
          </w:r>
          <w:r>
            <w:rPr>
              <w:rFonts w:hint="eastAsia"/>
              <w:color w:val="auto"/>
              <w:highlight w:val="none"/>
            </w:rPr>
            <w:fldChar w:fldCharType="end"/>
          </w:r>
          <w:r>
            <w:rPr>
              <w:rFonts w:hint="eastAsia"/>
              <w:color w:val="auto"/>
              <w:highlight w:val="none"/>
            </w:rPr>
            <w:fldChar w:fldCharType="end"/>
          </w:r>
        </w:p>
        <w:p w14:paraId="364D54E3">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"_Toc197702701" </w:instrText>
          </w:r>
          <w:r>
            <w:rPr>
              <w:color w:val="auto"/>
              <w:highlight w:val="none"/>
            </w:rPr>
            <w:fldChar w:fldCharType="separate"/>
          </w:r>
          <w:r>
            <w:rPr>
              <w:rStyle w:val="24"/>
              <w:rFonts w:hint="eastAsia"/>
              <w:color w:val="auto"/>
              <w:highlight w:val="none"/>
            </w:rPr>
            <w:t>十、 教学计划进程表（在excel表中计算后复制粘贴进来）</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_Toc197702701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- 4 -</w:t>
          </w:r>
          <w:r>
            <w:rPr>
              <w:rFonts w:hint="eastAsia"/>
              <w:color w:val="auto"/>
              <w:highlight w:val="none"/>
            </w:rPr>
            <w:fldChar w:fldCharType="end"/>
          </w:r>
          <w:r>
            <w:rPr>
              <w:rFonts w:hint="eastAsia"/>
              <w:color w:val="auto"/>
              <w:highlight w:val="none"/>
            </w:rPr>
            <w:fldChar w:fldCharType="end"/>
          </w:r>
        </w:p>
        <w:p w14:paraId="4FBE4F45">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"_Toc197702702" </w:instrText>
          </w:r>
          <w:r>
            <w:rPr>
              <w:color w:val="auto"/>
              <w:highlight w:val="none"/>
            </w:rPr>
            <w:fldChar w:fldCharType="separate"/>
          </w:r>
          <w:r>
            <w:rPr>
              <w:rStyle w:val="24"/>
              <w:rFonts w:hint="eastAsia"/>
              <w:color w:val="auto"/>
              <w:highlight w:val="none"/>
            </w:rPr>
            <w:t>十一、 实施保障</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_Toc197702702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- 6 -</w:t>
          </w:r>
          <w:r>
            <w:rPr>
              <w:rFonts w:hint="eastAsia"/>
              <w:color w:val="auto"/>
              <w:highlight w:val="none"/>
            </w:rPr>
            <w:fldChar w:fldCharType="end"/>
          </w:r>
          <w:r>
            <w:rPr>
              <w:rFonts w:hint="eastAsia"/>
              <w:color w:val="auto"/>
              <w:highlight w:val="none"/>
            </w:rPr>
            <w:fldChar w:fldCharType="end"/>
          </w:r>
        </w:p>
        <w:p w14:paraId="52F3FCDB">
          <w:pPr>
            <w:pStyle w:val="8"/>
            <w:tabs>
              <w:tab w:val="right" w:leader="dot" w:pos="9440"/>
            </w:tabs>
            <w:rPr>
              <w:rFonts w:hint="eastAsia" w:asciiTheme="minorHAnsi" w:hAnsiTheme="minorHAnsi" w:eastAsiaTheme="minorEastAsia" w:cstheme="minorBidi"/>
              <w:color w:val="auto"/>
              <w:sz w:val="22"/>
              <w:highlight w:val="none"/>
              <w14:ligatures w14:val="standardContextual"/>
            </w:rPr>
          </w:pPr>
          <w:r>
            <w:rPr>
              <w:color w:val="auto"/>
              <w:highlight w:val="none"/>
            </w:rPr>
            <w:fldChar w:fldCharType="begin"/>
          </w:r>
          <w:r>
            <w:rPr>
              <w:color w:val="auto"/>
              <w:highlight w:val="none"/>
            </w:rPr>
            <w:instrText xml:space="preserve"> HYPERLINK \l "_Toc197702703" </w:instrText>
          </w:r>
          <w:r>
            <w:rPr>
              <w:color w:val="auto"/>
              <w:highlight w:val="none"/>
            </w:rPr>
            <w:fldChar w:fldCharType="separate"/>
          </w:r>
          <w:r>
            <w:rPr>
              <w:rStyle w:val="24"/>
              <w:rFonts w:hint="eastAsia"/>
              <w:color w:val="auto"/>
              <w:highlight w:val="none"/>
            </w:rPr>
            <w:t>（一）师资队伍</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_Toc197702703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- 6 -</w:t>
          </w:r>
          <w:r>
            <w:rPr>
              <w:rFonts w:hint="eastAsia"/>
              <w:color w:val="auto"/>
              <w:highlight w:val="none"/>
            </w:rPr>
            <w:fldChar w:fldCharType="end"/>
          </w:r>
          <w:r>
            <w:rPr>
              <w:rFonts w:hint="eastAsia"/>
              <w:color w:val="auto"/>
              <w:highlight w:val="none"/>
            </w:rPr>
            <w:fldChar w:fldCharType="end"/>
          </w:r>
        </w:p>
        <w:p w14:paraId="753841E2">
          <w:pPr>
            <w:pStyle w:val="8"/>
            <w:tabs>
              <w:tab w:val="right" w:leader="dot" w:pos="9440"/>
            </w:tabs>
            <w:rPr>
              <w:rFonts w:hint="eastAsia" w:asciiTheme="minorHAnsi" w:hAnsiTheme="minorHAnsi" w:eastAsiaTheme="minorEastAsia" w:cstheme="minorBidi"/>
              <w:color w:val="auto"/>
              <w:sz w:val="22"/>
              <w:highlight w:val="none"/>
              <w14:ligatures w14:val="standardContextual"/>
            </w:rPr>
          </w:pPr>
          <w:r>
            <w:rPr>
              <w:color w:val="auto"/>
              <w:highlight w:val="none"/>
            </w:rPr>
            <w:fldChar w:fldCharType="begin"/>
          </w:r>
          <w:r>
            <w:rPr>
              <w:color w:val="auto"/>
              <w:highlight w:val="none"/>
            </w:rPr>
            <w:instrText xml:space="preserve"> HYPERLINK \l "_Toc197702704" </w:instrText>
          </w:r>
          <w:r>
            <w:rPr>
              <w:color w:val="auto"/>
              <w:highlight w:val="none"/>
            </w:rPr>
            <w:fldChar w:fldCharType="separate"/>
          </w:r>
          <w:r>
            <w:rPr>
              <w:rStyle w:val="24"/>
              <w:rFonts w:hint="eastAsia"/>
              <w:color w:val="auto"/>
              <w:highlight w:val="none"/>
            </w:rPr>
            <w:t>（二）教学设施</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_Toc197702704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- 6 -</w:t>
          </w:r>
          <w:r>
            <w:rPr>
              <w:rFonts w:hint="eastAsia"/>
              <w:color w:val="auto"/>
              <w:highlight w:val="none"/>
            </w:rPr>
            <w:fldChar w:fldCharType="end"/>
          </w:r>
          <w:r>
            <w:rPr>
              <w:rFonts w:hint="eastAsia"/>
              <w:color w:val="auto"/>
              <w:highlight w:val="none"/>
            </w:rPr>
            <w:fldChar w:fldCharType="end"/>
          </w:r>
        </w:p>
        <w:p w14:paraId="0A4483A0">
          <w:pPr>
            <w:pStyle w:val="8"/>
            <w:tabs>
              <w:tab w:val="right" w:leader="dot" w:pos="9440"/>
            </w:tabs>
            <w:rPr>
              <w:rFonts w:hint="eastAsia" w:asciiTheme="minorHAnsi" w:hAnsiTheme="minorHAnsi" w:eastAsiaTheme="minorEastAsia" w:cstheme="minorBidi"/>
              <w:color w:val="auto"/>
              <w:sz w:val="22"/>
              <w:highlight w:val="none"/>
              <w14:ligatures w14:val="standardContextual"/>
            </w:rPr>
          </w:pPr>
          <w:r>
            <w:rPr>
              <w:color w:val="auto"/>
              <w:highlight w:val="none"/>
            </w:rPr>
            <w:fldChar w:fldCharType="begin"/>
          </w:r>
          <w:r>
            <w:rPr>
              <w:color w:val="auto"/>
              <w:highlight w:val="none"/>
            </w:rPr>
            <w:instrText xml:space="preserve"> HYPERLINK \l "_Toc197702705" </w:instrText>
          </w:r>
          <w:r>
            <w:rPr>
              <w:color w:val="auto"/>
              <w:highlight w:val="none"/>
            </w:rPr>
            <w:fldChar w:fldCharType="separate"/>
          </w:r>
          <w:r>
            <w:rPr>
              <w:rStyle w:val="24"/>
              <w:rFonts w:hint="eastAsia"/>
              <w:color w:val="auto"/>
              <w:highlight w:val="none"/>
            </w:rPr>
            <w:t>（三）教学资源</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_Toc197702705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- 7 -</w:t>
          </w:r>
          <w:r>
            <w:rPr>
              <w:rFonts w:hint="eastAsia"/>
              <w:color w:val="auto"/>
              <w:highlight w:val="none"/>
            </w:rPr>
            <w:fldChar w:fldCharType="end"/>
          </w:r>
          <w:r>
            <w:rPr>
              <w:rFonts w:hint="eastAsia"/>
              <w:color w:val="auto"/>
              <w:highlight w:val="none"/>
            </w:rPr>
            <w:fldChar w:fldCharType="end"/>
          </w:r>
        </w:p>
        <w:p w14:paraId="017A42CE">
          <w:pPr>
            <w:pStyle w:val="16"/>
            <w:tabs>
              <w:tab w:val="right" w:leader="dot" w:pos="9440"/>
            </w:tabs>
            <w:rPr>
              <w:rFonts w:hint="eastAsia" w:asciiTheme="minorHAnsi" w:hAnsiTheme="minorHAnsi" w:eastAsiaTheme="minorEastAsia" w:cstheme="minorBidi"/>
              <w:color w:val="auto"/>
              <w:sz w:val="22"/>
              <w:szCs w:val="24"/>
              <w:highlight w:val="none"/>
              <w14:ligatures w14:val="standardContextual"/>
            </w:rPr>
          </w:pPr>
          <w:r>
            <w:rPr>
              <w:color w:val="auto"/>
              <w:highlight w:val="none"/>
            </w:rPr>
            <w:fldChar w:fldCharType="begin"/>
          </w:r>
          <w:r>
            <w:rPr>
              <w:color w:val="auto"/>
              <w:highlight w:val="none"/>
            </w:rPr>
            <w:instrText xml:space="preserve"> HYPERLINK \l "_Toc197702706" </w:instrText>
          </w:r>
          <w:r>
            <w:rPr>
              <w:color w:val="auto"/>
              <w:highlight w:val="none"/>
            </w:rPr>
            <w:fldChar w:fldCharType="separate"/>
          </w:r>
          <w:r>
            <w:rPr>
              <w:rStyle w:val="24"/>
              <w:rFonts w:hint="eastAsia"/>
              <w:color w:val="auto"/>
              <w:highlight w:val="none"/>
            </w:rPr>
            <w:t>十二、 质量保障和毕业要求</w:t>
          </w:r>
          <w:r>
            <w:rPr>
              <w:rFonts w:hint="eastAsia"/>
              <w:color w:val="auto"/>
              <w:highlight w:val="none"/>
            </w:rPr>
            <w:tab/>
          </w:r>
          <w:r>
            <w:rPr>
              <w:rFonts w:hint="eastAsia"/>
              <w:color w:val="auto"/>
              <w:highlight w:val="none"/>
            </w:rPr>
            <w:fldChar w:fldCharType="begin"/>
          </w:r>
          <w:r>
            <w:rPr>
              <w:rFonts w:hint="eastAsia"/>
              <w:color w:val="auto"/>
              <w:highlight w:val="none"/>
            </w:rPr>
            <w:instrText xml:space="preserve"> </w:instrText>
          </w:r>
          <w:r>
            <w:rPr>
              <w:color w:val="auto"/>
              <w:highlight w:val="none"/>
            </w:rPr>
            <w:instrText xml:space="preserve">PAGEREF _Toc197702706 \h</w:instrText>
          </w:r>
          <w:r>
            <w:rPr>
              <w:rFonts w:hint="eastAsia"/>
              <w:color w:val="auto"/>
              <w:highlight w:val="none"/>
            </w:rPr>
            <w:instrText xml:space="preserve"> </w:instrText>
          </w:r>
          <w:r>
            <w:rPr>
              <w:rFonts w:hint="eastAsia"/>
              <w:color w:val="auto"/>
              <w:highlight w:val="none"/>
            </w:rPr>
            <w:fldChar w:fldCharType="separate"/>
          </w:r>
          <w:r>
            <w:rPr>
              <w:color w:val="auto"/>
              <w:highlight w:val="none"/>
            </w:rPr>
            <w:t>- 7 -</w:t>
          </w:r>
          <w:r>
            <w:rPr>
              <w:rFonts w:hint="eastAsia"/>
              <w:color w:val="auto"/>
              <w:highlight w:val="none"/>
            </w:rPr>
            <w:fldChar w:fldCharType="end"/>
          </w:r>
          <w:r>
            <w:rPr>
              <w:rFonts w:hint="eastAsia"/>
              <w:color w:val="auto"/>
              <w:highlight w:val="none"/>
            </w:rPr>
            <w:fldChar w:fldCharType="end"/>
          </w:r>
        </w:p>
        <w:p w14:paraId="69826901">
          <w:pPr>
            <w:rPr>
              <w:color w:val="auto"/>
              <w:sz w:val="24"/>
              <w:highlight w:val="none"/>
            </w:rPr>
          </w:pPr>
          <w:r>
            <w:rPr>
              <w:b/>
              <w:bCs/>
              <w:color w:val="auto"/>
              <w:sz w:val="24"/>
              <w:highlight w:val="none"/>
              <w:lang w:val="zh-CN"/>
            </w:rPr>
            <w:fldChar w:fldCharType="end"/>
          </w:r>
        </w:p>
      </w:sdtContent>
    </w:sdt>
    <w:p w14:paraId="574C5C7C">
      <w:pPr>
        <w:rPr>
          <w:color w:val="auto"/>
          <w:sz w:val="24"/>
          <w:highlight w:val="none"/>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color w:val="auto"/>
          <w:kern w:val="44"/>
          <w:sz w:val="44"/>
          <w:szCs w:val="44"/>
          <w:highlight w:val="none"/>
        </w:rPr>
      </w:pPr>
      <w:r>
        <w:rPr>
          <w:rFonts w:hint="eastAsia" w:ascii="华文中宋" w:hAnsi="华文中宋" w:eastAsia="华文中宋"/>
          <w:b/>
          <w:bCs/>
          <w:color w:val="auto"/>
          <w:kern w:val="44"/>
          <w:sz w:val="44"/>
          <w:szCs w:val="44"/>
          <w:highlight w:val="none"/>
          <w:lang w:val="en-US" w:eastAsia="zh-CN"/>
        </w:rPr>
        <w:t>婴幼儿托育服务与管理</w:t>
      </w:r>
      <w:r>
        <w:rPr>
          <w:rFonts w:ascii="华文中宋" w:hAnsi="华文中宋" w:eastAsia="华文中宋"/>
          <w:b/>
          <w:bCs/>
          <w:color w:val="auto"/>
          <w:kern w:val="44"/>
          <w:sz w:val="44"/>
          <w:szCs w:val="44"/>
          <w:highlight w:val="none"/>
        </w:rPr>
        <w:t>专业人才培养方案</w:t>
      </w:r>
      <w:r>
        <w:rPr>
          <w:rFonts w:ascii="华文中宋" w:hAnsi="华文中宋" w:eastAsia="华文中宋"/>
          <w:b/>
          <w:bCs/>
          <w:color w:val="auto"/>
          <w:kern w:val="44"/>
          <w:sz w:val="44"/>
          <w:szCs w:val="44"/>
          <w:highlight w:val="none"/>
        </w:rPr>
        <w:br w:type="textWrapping"/>
      </w:r>
      <w:r>
        <w:rPr>
          <w:rFonts w:ascii="华文中宋" w:hAnsi="华文中宋" w:eastAsia="华文中宋"/>
          <w:b/>
          <w:bCs/>
          <w:color w:val="auto"/>
          <w:kern w:val="44"/>
          <w:sz w:val="44"/>
          <w:szCs w:val="44"/>
          <w:highlight w:val="none"/>
        </w:rPr>
        <w:t>（202</w:t>
      </w:r>
      <w:r>
        <w:rPr>
          <w:rFonts w:hint="eastAsia" w:ascii="华文中宋" w:hAnsi="华文中宋" w:eastAsia="华文中宋"/>
          <w:b/>
          <w:bCs/>
          <w:color w:val="auto"/>
          <w:kern w:val="44"/>
          <w:sz w:val="44"/>
          <w:szCs w:val="44"/>
          <w:highlight w:val="none"/>
        </w:rPr>
        <w:t>5级</w:t>
      </w:r>
      <w:r>
        <w:rPr>
          <w:rFonts w:ascii="华文中宋" w:hAnsi="华文中宋" w:eastAsia="华文中宋"/>
          <w:b/>
          <w:bCs/>
          <w:color w:val="auto"/>
          <w:kern w:val="44"/>
          <w:sz w:val="44"/>
          <w:szCs w:val="44"/>
          <w:highlight w:val="none"/>
        </w:rPr>
        <w:t>）</w:t>
      </w:r>
      <w:bookmarkEnd w:id="0"/>
      <w:bookmarkEnd w:id="1"/>
      <w:bookmarkEnd w:id="2"/>
    </w:p>
    <w:p w14:paraId="746DF14B">
      <w:pPr>
        <w:pStyle w:val="3"/>
        <w:numPr>
          <w:numId w:val="0"/>
        </w:numPr>
        <w:spacing w:line="360" w:lineRule="auto"/>
        <w:ind w:left="-2" w:leftChars="-2" w:hanging="2" w:hangingChars="1"/>
        <w:rPr>
          <w:color w:val="auto"/>
          <w:highlight w:val="none"/>
        </w:rPr>
      </w:pPr>
      <w:bookmarkStart w:id="4" w:name="_Toc197702688"/>
      <w:r>
        <w:rPr>
          <w:rFonts w:hint="default" w:ascii="Times New Roman" w:hAnsi="Times New Roman" w:eastAsia="黑体" w:cs="Times New Roman"/>
          <w:color w:val="auto"/>
          <w:kern w:val="2"/>
          <w:sz w:val="28"/>
          <w:szCs w:val="24"/>
          <w:lang w:val="en-US" w:eastAsia="zh-CN" w:bidi="ar-SA"/>
        </w:rPr>
        <w:t>一、</w:t>
      </w:r>
      <w:r>
        <w:rPr>
          <w:rFonts w:hint="eastAsia"/>
          <w:color w:val="auto"/>
          <w:highlight w:val="none"/>
        </w:rPr>
        <w:t>专业名称与代码</w:t>
      </w:r>
      <w:bookmarkEnd w:id="4"/>
    </w:p>
    <w:p w14:paraId="0D574C09">
      <w:pPr>
        <w:tabs>
          <w:tab w:val="left" w:pos="4111"/>
        </w:tabs>
        <w:spacing w:line="360" w:lineRule="auto"/>
        <w:ind w:firstLine="482" w:firstLineChars="200"/>
        <w:jc w:val="left"/>
        <w:rPr>
          <w:b/>
          <w:bCs/>
          <w:color w:val="auto"/>
          <w:sz w:val="24"/>
          <w:szCs w:val="32"/>
          <w:highlight w:val="none"/>
        </w:rPr>
      </w:pPr>
      <w:r>
        <w:rPr>
          <w:rFonts w:hint="eastAsia"/>
          <w:b/>
          <w:bCs/>
          <w:color w:val="auto"/>
          <w:sz w:val="24"/>
          <w:szCs w:val="32"/>
          <w:highlight w:val="none"/>
        </w:rPr>
        <w:t>专业名称：</w:t>
      </w:r>
      <w:r>
        <w:rPr>
          <w:rFonts w:hint="eastAsia"/>
          <w:b/>
          <w:bCs/>
          <w:color w:val="auto"/>
          <w:sz w:val="24"/>
          <w:szCs w:val="32"/>
          <w:highlight w:val="none"/>
          <w:lang w:val="en-US" w:eastAsia="zh-CN"/>
        </w:rPr>
        <w:t>婴幼儿托育服务与管理</w:t>
      </w:r>
      <w:r>
        <w:rPr>
          <w:b/>
          <w:bCs/>
          <w:color w:val="auto"/>
          <w:sz w:val="24"/>
          <w:szCs w:val="32"/>
          <w:highlight w:val="none"/>
        </w:rPr>
        <w:tab/>
      </w:r>
      <w:r>
        <w:rPr>
          <w:rFonts w:hint="eastAsia"/>
          <w:color w:val="auto"/>
          <w:sz w:val="24"/>
          <w:szCs w:val="32"/>
          <w:highlight w:val="none"/>
        </w:rPr>
        <w:t xml:space="preserve">（ </w:t>
      </w:r>
      <w:r>
        <w:rPr>
          <w:rFonts w:hint="eastAsia"/>
          <w:color w:val="auto"/>
          <w:sz w:val="24"/>
          <w:szCs w:val="32"/>
          <w:highlight w:val="none"/>
          <w:lang w:val="en-US" w:eastAsia="zh-CN"/>
        </w:rPr>
        <w:t>520802</w:t>
      </w:r>
      <w:r>
        <w:rPr>
          <w:rFonts w:hint="eastAsia"/>
          <w:color w:val="auto"/>
          <w:sz w:val="24"/>
          <w:szCs w:val="32"/>
          <w:highlight w:val="none"/>
        </w:rPr>
        <w:t xml:space="preserve">  ）</w:t>
      </w:r>
    </w:p>
    <w:p w14:paraId="0959D159">
      <w:pPr>
        <w:pStyle w:val="3"/>
        <w:numPr>
          <w:numId w:val="0"/>
        </w:numPr>
        <w:spacing w:line="360" w:lineRule="auto"/>
        <w:ind w:left="-2" w:leftChars="-2" w:hanging="2" w:hangingChars="1"/>
        <w:rPr>
          <w:color w:val="auto"/>
          <w:highlight w:val="none"/>
        </w:rPr>
      </w:pPr>
      <w:bookmarkStart w:id="5" w:name="_Toc197702689"/>
      <w:r>
        <w:rPr>
          <w:rFonts w:hint="default" w:ascii="Times New Roman" w:hAnsi="Times New Roman" w:eastAsia="黑体" w:cs="Times New Roman"/>
          <w:color w:val="auto"/>
          <w:kern w:val="2"/>
          <w:sz w:val="28"/>
          <w:szCs w:val="24"/>
          <w:lang w:val="en-US" w:eastAsia="zh-CN" w:bidi="ar-SA"/>
        </w:rPr>
        <w:t>二、</w:t>
      </w:r>
      <w:r>
        <w:rPr>
          <w:rFonts w:hint="eastAsia"/>
          <w:color w:val="auto"/>
          <w:highlight w:val="none"/>
        </w:rPr>
        <w:t>培养</w:t>
      </w:r>
      <w:r>
        <w:rPr>
          <w:color w:val="auto"/>
          <w:highlight w:val="none"/>
        </w:rPr>
        <w:t>对象与</w:t>
      </w:r>
      <w:r>
        <w:rPr>
          <w:rFonts w:hint="eastAsia"/>
          <w:color w:val="auto"/>
          <w:highlight w:val="none"/>
        </w:rPr>
        <w:t>学制</w:t>
      </w:r>
      <w:bookmarkEnd w:id="5"/>
    </w:p>
    <w:p w14:paraId="7AC8AEE3">
      <w:pPr>
        <w:spacing w:line="360" w:lineRule="auto"/>
        <w:ind w:firstLine="482" w:firstLineChars="200"/>
        <w:jc w:val="left"/>
        <w:rPr>
          <w:color w:val="auto"/>
          <w:sz w:val="24"/>
          <w:szCs w:val="32"/>
          <w:highlight w:val="none"/>
        </w:rPr>
      </w:pPr>
      <w:r>
        <w:rPr>
          <w:b/>
          <w:bCs/>
          <w:color w:val="auto"/>
          <w:sz w:val="24"/>
          <w:szCs w:val="32"/>
          <w:highlight w:val="none"/>
        </w:rPr>
        <w:t>招生对象</w:t>
      </w:r>
      <w:r>
        <w:rPr>
          <w:rFonts w:hint="eastAsia"/>
          <w:b/>
          <w:bCs/>
          <w:color w:val="auto"/>
          <w:sz w:val="24"/>
          <w:szCs w:val="32"/>
          <w:highlight w:val="none"/>
        </w:rPr>
        <w:t>：</w:t>
      </w:r>
      <w:r>
        <w:rPr>
          <w:rFonts w:hint="eastAsia"/>
          <w:color w:val="auto"/>
          <w:sz w:val="24"/>
          <w:szCs w:val="32"/>
          <w:highlight w:val="none"/>
        </w:rPr>
        <w:t>中等职业学校毕业、普通高级中学毕业或具备同等学力</w:t>
      </w:r>
    </w:p>
    <w:p w14:paraId="55E27A6D">
      <w:pPr>
        <w:spacing w:line="360" w:lineRule="auto"/>
        <w:ind w:firstLine="482" w:firstLineChars="200"/>
        <w:jc w:val="left"/>
        <w:rPr>
          <w:color w:val="auto"/>
          <w:sz w:val="24"/>
          <w:szCs w:val="32"/>
          <w:highlight w:val="none"/>
        </w:rPr>
      </w:pPr>
      <w:r>
        <w:rPr>
          <w:b/>
          <w:bCs/>
          <w:color w:val="auto"/>
          <w:sz w:val="24"/>
          <w:szCs w:val="32"/>
          <w:highlight w:val="none"/>
        </w:rPr>
        <w:t>学制</w:t>
      </w:r>
      <w:r>
        <w:rPr>
          <w:rFonts w:hint="eastAsia"/>
          <w:b/>
          <w:bCs/>
          <w:color w:val="auto"/>
          <w:sz w:val="24"/>
          <w:szCs w:val="32"/>
          <w:highlight w:val="none"/>
        </w:rPr>
        <w:t>：</w:t>
      </w:r>
      <w:r>
        <w:rPr>
          <w:color w:val="auto"/>
          <w:sz w:val="24"/>
          <w:szCs w:val="32"/>
          <w:highlight w:val="none"/>
        </w:rPr>
        <w:t>三年</w:t>
      </w:r>
    </w:p>
    <w:p w14:paraId="0D23D24F">
      <w:pPr>
        <w:pStyle w:val="3"/>
        <w:numPr>
          <w:numId w:val="0"/>
        </w:numPr>
        <w:spacing w:line="360" w:lineRule="auto"/>
        <w:ind w:left="-2" w:leftChars="-2" w:hanging="2" w:hangingChars="1"/>
        <w:rPr>
          <w:color w:val="auto"/>
          <w:highlight w:val="none"/>
        </w:rPr>
      </w:pPr>
      <w:bookmarkStart w:id="6" w:name="_Toc197702690"/>
      <w:r>
        <w:rPr>
          <w:rFonts w:hint="default" w:ascii="Times New Roman" w:hAnsi="Times New Roman" w:eastAsia="黑体" w:cs="Times New Roman"/>
          <w:color w:val="auto"/>
          <w:kern w:val="2"/>
          <w:sz w:val="28"/>
          <w:szCs w:val="24"/>
          <w:lang w:val="en-US" w:eastAsia="zh-CN" w:bidi="ar-SA"/>
        </w:rPr>
        <w:t>三、</w:t>
      </w:r>
      <w:r>
        <w:rPr>
          <w:rFonts w:hint="eastAsia"/>
          <w:color w:val="auto"/>
          <w:highlight w:val="none"/>
        </w:rPr>
        <w:t>职业面向</w:t>
      </w:r>
      <w:r>
        <w:rPr>
          <w:rFonts w:hint="eastAsia"/>
          <w:vanish/>
          <w:color w:val="auto"/>
          <w:highlight w:val="none"/>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6097"/>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color w:val="auto"/>
                <w:sz w:val="24"/>
                <w:highlight w:val="none"/>
              </w:rPr>
            </w:pPr>
            <w:r>
              <w:rPr>
                <w:color w:val="auto"/>
                <w:sz w:val="24"/>
                <w:highlight w:val="none"/>
              </w:rPr>
              <w:t>所属专业大类（代码）</w:t>
            </w:r>
          </w:p>
        </w:tc>
        <w:tc>
          <w:tcPr>
            <w:tcW w:w="6129" w:type="dxa"/>
            <w:vAlign w:val="center"/>
          </w:tcPr>
          <w:p w14:paraId="420A095B">
            <w:pPr>
              <w:snapToGrid w:val="0"/>
              <w:contextualSpacing/>
              <w:rPr>
                <w:color w:val="auto"/>
                <w:sz w:val="24"/>
                <w:highlight w:val="none"/>
              </w:rPr>
            </w:pPr>
            <w:r>
              <w:rPr>
                <w:rFonts w:hint="eastAsia" w:ascii="宋体" w:hAnsi="宋体" w:eastAsia="宋体" w:cs="宋体"/>
                <w:color w:val="auto"/>
                <w:sz w:val="21"/>
                <w:szCs w:val="21"/>
                <w:highlight w:val="none"/>
                <w:lang w:val="en-US" w:eastAsia="zh-CN"/>
              </w:rPr>
              <w:t>医药卫生</w:t>
            </w:r>
            <w:r>
              <w:rPr>
                <w:rFonts w:ascii="宋体" w:hAnsi="宋体" w:eastAsia="宋体" w:cs="宋体"/>
                <w:color w:val="auto"/>
                <w:sz w:val="21"/>
                <w:szCs w:val="21"/>
                <w:highlight w:val="none"/>
              </w:rPr>
              <w:t>大</w:t>
            </w:r>
            <w:r>
              <w:rPr>
                <w:rFonts w:ascii="宋体" w:hAnsi="宋体" w:eastAsia="宋体" w:cs="宋体"/>
                <w:color w:val="auto"/>
                <w:spacing w:val="-102"/>
                <w:sz w:val="21"/>
                <w:szCs w:val="21"/>
                <w:highlight w:val="none"/>
              </w:rPr>
              <w:t xml:space="preserve"> </w:t>
            </w:r>
            <w:r>
              <w:rPr>
                <w:rFonts w:ascii="宋体" w:hAnsi="宋体" w:eastAsia="宋体" w:cs="宋体"/>
                <w:color w:val="auto"/>
                <w:sz w:val="21"/>
                <w:szCs w:val="21"/>
                <w:highlight w:val="none"/>
              </w:rPr>
              <w:t>类（</w:t>
            </w:r>
            <w:r>
              <w:rPr>
                <w:rFonts w:ascii="Times New Roman" w:hAnsi="Times New Roman" w:eastAsia="Times New Roman" w:cs="Times New Roman"/>
                <w:color w:val="auto"/>
                <w:sz w:val="21"/>
                <w:szCs w:val="21"/>
                <w:highlight w:val="none"/>
              </w:rPr>
              <w:t>5</w:t>
            </w:r>
            <w:r>
              <w:rPr>
                <w:rFonts w:hint="eastAsia" w:ascii="Times New Roman" w:hAnsi="Times New Roman" w:eastAsia="宋体" w:cs="Times New Roman"/>
                <w:color w:val="auto"/>
                <w:sz w:val="21"/>
                <w:szCs w:val="21"/>
                <w:highlight w:val="none"/>
                <w:lang w:val="en-US" w:eastAsia="zh-CN"/>
              </w:rPr>
              <w:t>2</w:t>
            </w:r>
            <w:r>
              <w:rPr>
                <w:rFonts w:ascii="宋体" w:hAnsi="宋体" w:eastAsia="宋体" w:cs="宋体"/>
                <w:color w:val="auto"/>
                <w:sz w:val="21"/>
                <w:szCs w:val="21"/>
                <w:highlight w:val="none"/>
              </w:rPr>
              <w:t>）</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color w:val="auto"/>
                <w:sz w:val="24"/>
                <w:highlight w:val="none"/>
              </w:rPr>
            </w:pPr>
            <w:r>
              <w:rPr>
                <w:color w:val="auto"/>
                <w:sz w:val="24"/>
                <w:highlight w:val="none"/>
              </w:rPr>
              <w:t>所属专业类（代码）</w:t>
            </w:r>
          </w:p>
        </w:tc>
        <w:tc>
          <w:tcPr>
            <w:tcW w:w="6129" w:type="dxa"/>
            <w:vAlign w:val="center"/>
          </w:tcPr>
          <w:p w14:paraId="07B6105C">
            <w:pPr>
              <w:pStyle w:val="133"/>
              <w:keepNext w:val="0"/>
              <w:keepLines w:val="0"/>
              <w:pageBreakBefore w:val="0"/>
              <w:widowControl w:val="0"/>
              <w:kinsoku/>
              <w:wordWrap/>
              <w:overflowPunct/>
              <w:topLinePunct w:val="0"/>
              <w:autoSpaceDE/>
              <w:autoSpaceDN/>
              <w:bidi w:val="0"/>
              <w:adjustRightInd/>
              <w:snapToGrid/>
              <w:spacing w:line="240" w:lineRule="auto"/>
              <w:ind w:left="0" w:right="0"/>
              <w:jc w:val="left"/>
              <w:textAlignment w:val="auto"/>
              <w:rPr>
                <w:color w:val="auto"/>
                <w:sz w:val="24"/>
                <w:highlight w:val="none"/>
              </w:rPr>
            </w:pPr>
            <w:r>
              <w:rPr>
                <w:rFonts w:hint="eastAsia" w:ascii="宋体" w:hAnsi="宋体" w:eastAsia="宋体" w:cs="宋体"/>
                <w:color w:val="auto"/>
                <w:sz w:val="21"/>
                <w:szCs w:val="21"/>
                <w:highlight w:val="none"/>
                <w:lang w:val="en-US" w:eastAsia="zh-CN"/>
              </w:rPr>
              <w:t>健康管理与促进类</w:t>
            </w: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5</w:t>
            </w:r>
            <w:r>
              <w:rPr>
                <w:rFonts w:hint="eastAsia" w:ascii="Times New Roman" w:hAnsi="Times New Roman" w:eastAsia="宋体" w:cs="Times New Roman"/>
                <w:color w:val="auto"/>
                <w:sz w:val="21"/>
                <w:szCs w:val="21"/>
                <w:highlight w:val="none"/>
                <w:lang w:val="en-US" w:eastAsia="zh-CN"/>
              </w:rPr>
              <w:t>20802</w:t>
            </w:r>
            <w:r>
              <w:rPr>
                <w:rFonts w:ascii="宋体" w:hAnsi="宋体" w:eastAsia="宋体" w:cs="宋体"/>
                <w:color w:val="auto"/>
                <w:sz w:val="21"/>
                <w:szCs w:val="21"/>
                <w:highlight w:val="none"/>
              </w:rPr>
              <w:t>）</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color w:val="auto"/>
                <w:sz w:val="24"/>
                <w:highlight w:val="none"/>
              </w:rPr>
            </w:pPr>
            <w:r>
              <w:rPr>
                <w:color w:val="auto"/>
                <w:sz w:val="24"/>
                <w:highlight w:val="none"/>
              </w:rPr>
              <w:t>对应行业（代码）</w:t>
            </w:r>
          </w:p>
        </w:tc>
        <w:tc>
          <w:tcPr>
            <w:tcW w:w="6129" w:type="dxa"/>
            <w:vAlign w:val="center"/>
          </w:tcPr>
          <w:p w14:paraId="2D47395D">
            <w:pPr>
              <w:pStyle w:val="133"/>
              <w:keepNext w:val="0"/>
              <w:keepLines w:val="0"/>
              <w:pageBreakBefore w:val="0"/>
              <w:widowControl w:val="0"/>
              <w:kinsoku/>
              <w:wordWrap/>
              <w:overflowPunct/>
              <w:topLinePunct w:val="0"/>
              <w:autoSpaceDE/>
              <w:autoSpaceDN/>
              <w:bidi w:val="0"/>
              <w:adjustRightInd/>
              <w:snapToGrid/>
              <w:spacing w:line="240" w:lineRule="auto"/>
              <w:ind w:right="0"/>
              <w:jc w:val="both"/>
              <w:textAlignment w:val="auto"/>
              <w:rPr>
                <w:color w:val="auto"/>
                <w:sz w:val="24"/>
                <w:highlight w:val="none"/>
              </w:rPr>
            </w:pPr>
            <w:r>
              <w:rPr>
                <w:rFonts w:hint="eastAsia" w:ascii="宋体" w:hAnsi="宋体" w:eastAsia="宋体" w:cs="宋体"/>
                <w:color w:val="auto"/>
                <w:sz w:val="21"/>
                <w:szCs w:val="21"/>
                <w:highlight w:val="none"/>
                <w:lang w:val="en-US" w:eastAsia="zh-CN"/>
              </w:rPr>
              <w:t>托儿所服务（8020）家庭服务（8010）</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color w:val="auto"/>
                <w:sz w:val="24"/>
                <w:highlight w:val="none"/>
              </w:rPr>
            </w:pPr>
            <w:r>
              <w:rPr>
                <w:color w:val="auto"/>
                <w:sz w:val="24"/>
                <w:highlight w:val="none"/>
              </w:rPr>
              <w:t>主要职业类别（代码）</w:t>
            </w:r>
          </w:p>
        </w:tc>
        <w:tc>
          <w:tcPr>
            <w:tcW w:w="6129" w:type="dxa"/>
            <w:vAlign w:val="center"/>
          </w:tcPr>
          <w:p w14:paraId="67F1BA9F">
            <w:pPr>
              <w:pStyle w:val="133"/>
              <w:keepNext w:val="0"/>
              <w:keepLines w:val="0"/>
              <w:pageBreakBefore w:val="0"/>
              <w:widowControl w:val="0"/>
              <w:kinsoku/>
              <w:wordWrap/>
              <w:overflowPunct/>
              <w:topLinePunct w:val="0"/>
              <w:autoSpaceDE/>
              <w:autoSpaceDN/>
              <w:bidi w:val="0"/>
              <w:adjustRightInd/>
              <w:snapToGrid/>
              <w:spacing w:line="240" w:lineRule="auto"/>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婴幼儿发展引导员 （4-10-01-01）育婴员（4-10-01-02）</w:t>
            </w:r>
          </w:p>
          <w:p w14:paraId="7689EBAC">
            <w:pPr>
              <w:snapToGrid w:val="0"/>
              <w:contextualSpacing/>
              <w:rPr>
                <w:color w:val="auto"/>
                <w:sz w:val="24"/>
                <w:highlight w:val="none"/>
              </w:rPr>
            </w:pPr>
            <w:r>
              <w:rPr>
                <w:rFonts w:hint="eastAsia" w:ascii="宋体" w:hAnsi="宋体" w:eastAsia="宋体" w:cs="宋体"/>
                <w:color w:val="auto"/>
                <w:sz w:val="21"/>
                <w:szCs w:val="21"/>
                <w:highlight w:val="none"/>
                <w:lang w:val="en-US" w:eastAsia="zh-CN"/>
              </w:rPr>
              <w:t>保育员（4-10-01-03）</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color w:val="auto"/>
                <w:sz w:val="24"/>
                <w:highlight w:val="none"/>
              </w:rPr>
            </w:pPr>
            <w:r>
              <w:rPr>
                <w:color w:val="auto"/>
                <w:sz w:val="24"/>
                <w:highlight w:val="none"/>
              </w:rPr>
              <w:t>主要岗位（群）或技术领域</w:t>
            </w:r>
          </w:p>
        </w:tc>
        <w:tc>
          <w:tcPr>
            <w:tcW w:w="6129" w:type="dxa"/>
            <w:vAlign w:val="center"/>
          </w:tcPr>
          <w:p w14:paraId="7F9F692D">
            <w:pPr>
              <w:pStyle w:val="13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1.婴幼儿托育机构托育师、早教师</w:t>
            </w:r>
          </w:p>
          <w:p w14:paraId="5E7EB3DF">
            <w:pPr>
              <w:pStyle w:val="13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2.早期教育家庭教育指导工作者</w:t>
            </w:r>
          </w:p>
          <w:p w14:paraId="71631F06">
            <w:pPr>
              <w:pStyle w:val="13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jc w:val="left"/>
              <w:textAlignment w:val="auto"/>
              <w:rPr>
                <w:color w:val="auto"/>
                <w:sz w:val="24"/>
                <w:highlight w:val="none"/>
              </w:rPr>
            </w:pPr>
            <w:r>
              <w:rPr>
                <w:rFonts w:hint="eastAsia" w:ascii="宋体" w:hAnsi="宋体" w:eastAsia="宋体" w:cs="宋体"/>
                <w:color w:val="auto"/>
                <w:sz w:val="21"/>
                <w:szCs w:val="21"/>
                <w:highlight w:val="none"/>
                <w:lang w:val="en-US" w:eastAsia="zh-CN"/>
              </w:rPr>
              <w:t>3.幼儿园教师</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color w:val="auto"/>
                <w:sz w:val="24"/>
                <w:highlight w:val="none"/>
              </w:rPr>
            </w:pPr>
            <w:r>
              <w:rPr>
                <w:color w:val="auto"/>
                <w:sz w:val="24"/>
                <w:highlight w:val="none"/>
              </w:rPr>
              <w:t>职业类证书</w:t>
            </w:r>
          </w:p>
        </w:tc>
        <w:tc>
          <w:tcPr>
            <w:tcW w:w="6129" w:type="dxa"/>
            <w:vAlign w:val="center"/>
          </w:tcPr>
          <w:p w14:paraId="589BE87E">
            <w:pPr>
              <w:snapToGrid w:val="0"/>
              <w:contextualSpacing/>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江苏省英语应用能力考试</w:t>
            </w:r>
            <w:r>
              <w:rPr>
                <w:rFonts w:hint="eastAsia" w:ascii="宋体" w:hAnsi="宋体"/>
                <w:color w:val="auto"/>
                <w:sz w:val="21"/>
                <w:szCs w:val="21"/>
                <w:highlight w:val="none"/>
                <w:lang w:val="en-US" w:eastAsia="zh-CN"/>
              </w:rPr>
              <w:t>B级</w:t>
            </w:r>
          </w:p>
          <w:p w14:paraId="65D752C2">
            <w:pPr>
              <w:snapToGrid w:val="0"/>
              <w:contextualSpacing/>
              <w:rPr>
                <w:rFonts w:hint="eastAsia" w:ascii="宋体" w:hAnsi="宋体"/>
                <w:color w:val="auto"/>
                <w:sz w:val="21"/>
                <w:szCs w:val="21"/>
                <w:highlight w:val="none"/>
                <w:lang w:val="en-US" w:eastAsia="zh-CN"/>
              </w:rPr>
            </w:pPr>
            <w:r>
              <w:rPr>
                <w:rFonts w:hint="eastAsia" w:ascii="宋体" w:hAnsi="宋体"/>
                <w:color w:val="auto"/>
                <w:sz w:val="21"/>
                <w:szCs w:val="21"/>
                <w:highlight w:val="none"/>
              </w:rPr>
              <w:t>全国计算机等级考试</w:t>
            </w:r>
            <w:r>
              <w:rPr>
                <w:rFonts w:hint="eastAsia" w:ascii="宋体" w:hAnsi="宋体"/>
                <w:color w:val="auto"/>
                <w:sz w:val="21"/>
                <w:szCs w:val="21"/>
                <w:highlight w:val="none"/>
                <w:lang w:val="en-US" w:eastAsia="zh-CN"/>
              </w:rPr>
              <w:t>一级</w:t>
            </w:r>
          </w:p>
          <w:p w14:paraId="284123BE">
            <w:pPr>
              <w:snapToGrid w:val="0"/>
              <w:contextualSpacing/>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普通话二甲</w:t>
            </w:r>
          </w:p>
          <w:p w14:paraId="09A16E08">
            <w:pPr>
              <w:snapToGrid w:val="0"/>
              <w:contextualSpacing/>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育婴师中级</w:t>
            </w:r>
          </w:p>
          <w:p w14:paraId="72C9FCA9">
            <w:pPr>
              <w:snapToGrid w:val="0"/>
              <w:contextualSpacing/>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幼儿教师资格证</w:t>
            </w:r>
          </w:p>
        </w:tc>
      </w:tr>
    </w:tbl>
    <w:p w14:paraId="03687826">
      <w:pPr>
        <w:pStyle w:val="3"/>
        <w:numPr>
          <w:numId w:val="0"/>
        </w:numPr>
        <w:spacing w:line="360" w:lineRule="auto"/>
        <w:ind w:left="-2" w:leftChars="-2" w:hanging="2" w:hangingChars="1"/>
        <w:rPr>
          <w:color w:val="auto"/>
          <w:highlight w:val="none"/>
        </w:rPr>
      </w:pPr>
      <w:bookmarkStart w:id="7" w:name="_Toc197702691"/>
      <w:r>
        <w:rPr>
          <w:rFonts w:hint="default" w:ascii="Times New Roman" w:hAnsi="Times New Roman" w:eastAsia="黑体" w:cs="Times New Roman"/>
          <w:color w:val="auto"/>
          <w:kern w:val="2"/>
          <w:sz w:val="28"/>
          <w:szCs w:val="24"/>
          <w:lang w:val="en-US" w:eastAsia="zh-CN" w:bidi="ar-SA"/>
        </w:rPr>
        <w:t>四、</w:t>
      </w:r>
      <w:r>
        <w:rPr>
          <w:color w:val="auto"/>
          <w:highlight w:val="none"/>
        </w:rPr>
        <w:t>培养目标</w:t>
      </w:r>
      <w:r>
        <w:rPr>
          <w:rFonts w:hint="eastAsia"/>
          <w:vanish/>
          <w:color w:val="auto"/>
          <w:highlight w:val="none"/>
        </w:rPr>
        <w:t>（参照教育部标准）</w:t>
      </w:r>
      <w:bookmarkEnd w:id="7"/>
    </w:p>
    <w:p w14:paraId="78235E7D">
      <w:pPr>
        <w:pStyle w:val="7"/>
        <w:keepNext w:val="0"/>
        <w:keepLines w:val="0"/>
        <w:pageBreakBefore w:val="0"/>
        <w:widowControl w:val="0"/>
        <w:numPr>
          <w:ilvl w:val="0"/>
          <w:numId w:val="0"/>
        </w:numPr>
        <w:kinsoku/>
        <w:wordWrap/>
        <w:overflowPunct/>
        <w:topLinePunct w:val="0"/>
        <w:autoSpaceDE/>
        <w:autoSpaceDN/>
        <w:bidi w:val="0"/>
        <w:adjustRightInd/>
        <w:spacing w:after="0" w:line="360" w:lineRule="auto"/>
        <w:ind w:right="0" w:rightChars="0"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本专业立足</w:t>
      </w:r>
      <w:r>
        <w:rPr>
          <w:rFonts w:hint="eastAsia" w:cs="宋体"/>
          <w:b w:val="0"/>
          <w:bCs w:val="0"/>
          <w:color w:val="auto"/>
          <w:sz w:val="24"/>
          <w:szCs w:val="24"/>
          <w:highlight w:val="none"/>
          <w:lang w:val="en-US" w:eastAsia="zh-CN"/>
        </w:rPr>
        <w:t>江苏，</w:t>
      </w:r>
      <w:r>
        <w:rPr>
          <w:rFonts w:hint="eastAsia" w:ascii="宋体" w:hAnsi="宋体" w:eastAsia="宋体" w:cs="宋体"/>
          <w:b w:val="0"/>
          <w:bCs w:val="0"/>
          <w:color w:val="auto"/>
          <w:sz w:val="24"/>
          <w:szCs w:val="24"/>
          <w:highlight w:val="none"/>
        </w:rPr>
        <w:t>面向全国</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培养理想信念坚定，德、智、体、美、劳全面发展，具有一定的科学文化水平，良好的人文素养、职业道德和创新意识</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尊重和热爱</w:t>
      </w:r>
      <w:r>
        <w:rPr>
          <w:rFonts w:hint="eastAsia" w:cs="宋体"/>
          <w:b w:val="0"/>
          <w:bCs w:val="0"/>
          <w:color w:val="auto"/>
          <w:sz w:val="24"/>
          <w:szCs w:val="24"/>
          <w:highlight w:val="none"/>
          <w:lang w:val="en-US" w:eastAsia="zh-CN"/>
        </w:rPr>
        <w:t>婴幼儿，掌握婴幼儿</w:t>
      </w:r>
      <w:r>
        <w:rPr>
          <w:rFonts w:hint="eastAsia" w:ascii="宋体" w:hAnsi="宋体" w:eastAsia="宋体" w:cs="宋体"/>
          <w:b w:val="0"/>
          <w:bCs w:val="0"/>
          <w:color w:val="auto"/>
          <w:sz w:val="24"/>
          <w:szCs w:val="24"/>
          <w:highlight w:val="none"/>
        </w:rPr>
        <w:t>身心发展规律、卫生保健、早期学习特点等知识，能开展积极回应性的生活照护与喂养、科学规范的安全看护与伤害预防处理，适应时代要求的家庭养育指导等促进</w:t>
      </w:r>
      <w:r>
        <w:rPr>
          <w:rFonts w:hint="eastAsia" w:cs="宋体"/>
          <w:b w:val="0"/>
          <w:bCs w:val="0"/>
          <w:color w:val="auto"/>
          <w:sz w:val="24"/>
          <w:szCs w:val="24"/>
          <w:highlight w:val="none"/>
          <w:lang w:val="en-US" w:eastAsia="zh-CN"/>
        </w:rPr>
        <w:t>早期发展与学习</w:t>
      </w:r>
      <w:r>
        <w:rPr>
          <w:rFonts w:hint="eastAsia" w:ascii="宋体" w:hAnsi="宋体" w:eastAsia="宋体" w:cs="宋体"/>
          <w:b w:val="0"/>
          <w:bCs w:val="0"/>
          <w:color w:val="auto"/>
          <w:sz w:val="24"/>
          <w:szCs w:val="24"/>
          <w:highlight w:val="none"/>
        </w:rPr>
        <w:t>的能力，并具备良好的沟通能力和现代化信息素养，从事婴幼儿托育服务与管理的高素质技术技能人才。</w:t>
      </w:r>
    </w:p>
    <w:p w14:paraId="66B21371">
      <w:pPr>
        <w:rPr>
          <w:color w:val="auto"/>
          <w:highlight w:val="none"/>
        </w:rPr>
      </w:pPr>
    </w:p>
    <w:p w14:paraId="3247DAB2">
      <w:pPr>
        <w:pStyle w:val="3"/>
        <w:numPr>
          <w:numId w:val="0"/>
        </w:numPr>
        <w:spacing w:line="360" w:lineRule="auto"/>
        <w:ind w:left="-2" w:leftChars="-2" w:hanging="2" w:hangingChars="1"/>
        <w:rPr>
          <w:color w:val="auto"/>
          <w:highlight w:val="none"/>
        </w:rPr>
      </w:pPr>
      <w:bookmarkStart w:id="8" w:name="_Toc197702692"/>
      <w:r>
        <w:rPr>
          <w:rFonts w:hint="default" w:ascii="Times New Roman" w:hAnsi="Times New Roman" w:eastAsia="黑体" w:cs="Times New Roman"/>
          <w:color w:val="auto"/>
          <w:kern w:val="2"/>
          <w:sz w:val="28"/>
          <w:szCs w:val="24"/>
          <w:lang w:val="en-US" w:eastAsia="zh-CN" w:bidi="ar-SA"/>
        </w:rPr>
        <w:t>五、</w:t>
      </w:r>
      <w:r>
        <w:rPr>
          <w:color w:val="auto"/>
          <w:highlight w:val="none"/>
        </w:rPr>
        <w:t>培养</w:t>
      </w:r>
      <w:r>
        <w:rPr>
          <w:rFonts w:hint="eastAsia"/>
          <w:color w:val="auto"/>
          <w:highlight w:val="none"/>
        </w:rPr>
        <w:t>规格</w:t>
      </w:r>
      <w:r>
        <w:rPr>
          <w:rFonts w:hint="eastAsia"/>
          <w:vanish/>
          <w:color w:val="auto"/>
          <w:highlight w:val="none"/>
        </w:rPr>
        <w:t>（参照教育部标准）</w:t>
      </w:r>
      <w:bookmarkEnd w:id="8"/>
    </w:p>
    <w:p w14:paraId="0F7B67C7">
      <w:pPr>
        <w:pStyle w:val="7"/>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cs="仿宋"/>
          <w:color w:val="auto"/>
          <w:sz w:val="24"/>
          <w:highlight w:val="none"/>
        </w:rPr>
      </w:pPr>
      <w:r>
        <w:rPr>
          <w:rFonts w:ascii="宋体" w:hAnsi="宋体" w:cs="仿宋"/>
          <w:color w:val="auto"/>
          <w:sz w:val="24"/>
          <w:highlight w:val="none"/>
        </w:rPr>
        <w:t>本专业毕业生应在素质、知识和能力等方面达到以下要求：</w:t>
      </w:r>
    </w:p>
    <w:p w14:paraId="3AF54E96">
      <w:pPr>
        <w:pStyle w:val="5"/>
        <w:pageBreakBefore w:val="0"/>
        <w:widowControl w:val="0"/>
        <w:kinsoku/>
        <w:wordWrap/>
        <w:overflowPunct/>
        <w:topLinePunct w:val="0"/>
        <w:autoSpaceDE/>
        <w:autoSpaceDN/>
        <w:bidi w:val="0"/>
        <w:adjustRightInd/>
        <w:snapToGrid/>
        <w:spacing w:before="0" w:after="0" w:line="360" w:lineRule="auto"/>
        <w:ind w:left="0" w:leftChars="0" w:firstLine="482" w:firstLineChars="200"/>
        <w:textAlignment w:val="auto"/>
        <w:rPr>
          <w:rFonts w:ascii="宋体" w:hAnsi="宋体" w:cs="仿宋"/>
          <w:b w:val="0"/>
          <w:bCs w:val="0"/>
          <w:color w:val="auto"/>
          <w:sz w:val="24"/>
          <w:szCs w:val="24"/>
          <w:highlight w:val="none"/>
        </w:rPr>
      </w:pPr>
      <w:bookmarkStart w:id="9" w:name="_bookmark6"/>
      <w:bookmarkEnd w:id="9"/>
      <w:r>
        <w:rPr>
          <w:rFonts w:ascii="宋体" w:hAnsi="宋体" w:cs="仿宋"/>
          <w:color w:val="auto"/>
          <w:sz w:val="24"/>
          <w:szCs w:val="24"/>
          <w:highlight w:val="none"/>
        </w:rPr>
        <w:t>（一）素质</w:t>
      </w:r>
    </w:p>
    <w:p w14:paraId="2A44CF52">
      <w:pPr>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ascii="宋体" w:hAnsi="宋体" w:cs="仿宋"/>
          <w:color w:val="auto"/>
          <w:sz w:val="24"/>
          <w:highlight w:val="none"/>
        </w:rPr>
      </w:pPr>
      <w:r>
        <w:rPr>
          <w:rFonts w:ascii="宋体" w:hAnsi="宋体" w:cs="仿宋"/>
          <w:b/>
          <w:bCs/>
          <w:color w:val="auto"/>
          <w:sz w:val="24"/>
          <w:highlight w:val="none"/>
        </w:rPr>
        <w:t>1.思想政治素质</w:t>
      </w:r>
    </w:p>
    <w:p w14:paraId="2874EA02">
      <w:pPr>
        <w:pStyle w:val="7"/>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cs="仿宋"/>
          <w:color w:val="auto"/>
          <w:sz w:val="24"/>
          <w:highlight w:val="none"/>
        </w:rPr>
      </w:pPr>
      <w:r>
        <w:rPr>
          <w:rFonts w:ascii="宋体" w:hAnsi="宋体" w:cs="仿宋"/>
          <w:color w:val="auto"/>
          <w:sz w:val="24"/>
          <w:highlight w:val="none"/>
        </w:rPr>
        <w:t>（1）坚定拥护中国共产党领导和我国社会主义制度，在习近平新时</w:t>
      </w:r>
      <w:r>
        <w:rPr>
          <w:rFonts w:ascii="宋体" w:hAnsi="宋体" w:cs="仿宋"/>
          <w:color w:val="auto"/>
          <w:spacing w:val="-4"/>
          <w:sz w:val="24"/>
          <w:highlight w:val="none"/>
        </w:rPr>
        <w:t>代中国特色社会主义思想指引下，践行社会主义核心价值观，具有深厚的</w:t>
      </w:r>
      <w:r>
        <w:rPr>
          <w:rFonts w:ascii="宋体" w:hAnsi="宋体" w:cs="仿宋"/>
          <w:color w:val="auto"/>
          <w:sz w:val="24"/>
          <w:highlight w:val="none"/>
        </w:rPr>
        <w:t>爱国情感和中华民族自豪感；</w:t>
      </w:r>
    </w:p>
    <w:p w14:paraId="725A58E8">
      <w:pPr>
        <w:pStyle w:val="7"/>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cs="仿宋"/>
          <w:color w:val="auto"/>
          <w:sz w:val="24"/>
          <w:highlight w:val="none"/>
        </w:rPr>
      </w:pPr>
      <w:r>
        <w:rPr>
          <w:rFonts w:ascii="宋体" w:hAnsi="宋体" w:cs="仿宋"/>
          <w:color w:val="auto"/>
          <w:sz w:val="24"/>
          <w:highlight w:val="none"/>
        </w:rPr>
        <w:t>（2）崇尚宪法、遵法守纪、崇德向善、诚实守信、尊重生命、热爱劳动，履行道德准则和行为规范，具有社会责任感和社会参与意识；</w:t>
      </w:r>
    </w:p>
    <w:p w14:paraId="500A4D54">
      <w:pPr>
        <w:pStyle w:val="7"/>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cs="仿宋"/>
          <w:b/>
          <w:bCs/>
          <w:color w:val="auto"/>
          <w:sz w:val="24"/>
          <w:highlight w:val="none"/>
        </w:rPr>
      </w:pPr>
      <w:r>
        <w:rPr>
          <w:rFonts w:ascii="宋体" w:hAnsi="宋体" w:cs="仿宋"/>
          <w:b/>
          <w:bCs/>
          <w:color w:val="auto"/>
          <w:sz w:val="24"/>
          <w:highlight w:val="none"/>
        </w:rPr>
        <w:t>2.文化素质</w:t>
      </w:r>
    </w:p>
    <w:p w14:paraId="3060EB11">
      <w:pPr>
        <w:pStyle w:val="7"/>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具有较系统、扎实的语言、科技、人文与社会、运动与健康、信息技术素养；具有公民责任感和社会参与意识；具有感受美、表现美、鉴赏美、创造美的能力，具有一定的审美和人文素养，能够形成一两项艺术特长或爱好；掌握解决复杂问题的系统性科学方法；掌握一定的学习方法，具有良好的生活习惯、行为习惯和自我管理能力。</w:t>
      </w:r>
    </w:p>
    <w:p w14:paraId="40E8A95A">
      <w:pPr>
        <w:pStyle w:val="7"/>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cs="仿宋"/>
          <w:b/>
          <w:bCs/>
          <w:color w:val="auto"/>
          <w:sz w:val="24"/>
          <w:highlight w:val="none"/>
        </w:rPr>
      </w:pPr>
      <w:r>
        <w:rPr>
          <w:rFonts w:ascii="宋体" w:hAnsi="宋体" w:cs="仿宋"/>
          <w:b/>
          <w:bCs/>
          <w:color w:val="auto"/>
          <w:sz w:val="24"/>
          <w:highlight w:val="none"/>
        </w:rPr>
        <w:t>3.职业素质</w:t>
      </w:r>
    </w:p>
    <w:p w14:paraId="27ECF22C">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传承和发扬中华崇德向善、诚实守信的优秀传统；秉承爱岗敬业、团结合作等职业信念和品德；遵循婴幼儿身心发展规律，理解婴幼儿托育服务于管理的工作意义，具有良好的职业道德；热爱婴幼儿事业，工作中有爱心、有耐心、有细心，尊重他人；愿意主动承担责任，勇于创新，敢于执行新任务；有自信、有激情、应变能力强、能承受挫折与压力；能接受并正面对待批评，具有平衡个人生活和职业工作的能力；具有较强的团队合作与终身学习的意识。</w:t>
      </w:r>
    </w:p>
    <w:p w14:paraId="64C967DE">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cs="仿宋"/>
          <w:b/>
          <w:bCs/>
          <w:color w:val="auto"/>
          <w:sz w:val="24"/>
          <w:highlight w:val="none"/>
        </w:rPr>
      </w:pPr>
      <w:r>
        <w:rPr>
          <w:rFonts w:ascii="宋体" w:hAnsi="宋体" w:cs="仿宋"/>
          <w:b/>
          <w:bCs/>
          <w:color w:val="auto"/>
          <w:sz w:val="24"/>
          <w:highlight w:val="none"/>
        </w:rPr>
        <w:t>4.身心素质</w:t>
      </w:r>
    </w:p>
    <w:p w14:paraId="1B1580B0">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cs="仿宋"/>
          <w:b/>
          <w:bCs/>
          <w:color w:val="auto"/>
          <w:sz w:val="24"/>
          <w:highlight w:val="none"/>
        </w:rPr>
      </w:pPr>
      <w:r>
        <w:rPr>
          <w:rFonts w:ascii="宋体" w:hAnsi="宋体" w:eastAsia="宋体" w:cs="宋体"/>
          <w:color w:val="auto"/>
          <w:sz w:val="24"/>
          <w:szCs w:val="24"/>
          <w:highlight w:val="none"/>
        </w:rPr>
        <w:t>必须达到《国家学生体质健康标准》，养成良好的健康与卫生习惯、良好的行为习惯。 具有健康的体魄、积极的心态、良好的人际关系和健全的人格，能够掌握基本运动知识</w:t>
      </w:r>
      <w:r>
        <w:rPr>
          <w:rFonts w:hint="eastAsia" w:ascii="宋体" w:hAnsi="宋体" w:cs="宋体"/>
          <w:color w:val="auto"/>
          <w:sz w:val="24"/>
          <w:szCs w:val="24"/>
          <w:highlight w:val="none"/>
          <w:lang w:val="en-US" w:eastAsia="zh-CN"/>
        </w:rPr>
        <w:t>和</w:t>
      </w:r>
      <w:r>
        <w:rPr>
          <w:rFonts w:ascii="宋体" w:hAnsi="宋体" w:eastAsia="宋体" w:cs="宋体"/>
          <w:color w:val="auto"/>
          <w:sz w:val="24"/>
          <w:szCs w:val="24"/>
          <w:highlight w:val="none"/>
        </w:rPr>
        <w:t>运动技能；具有环境适应能力，具有较强的抗挫和抗压能力，能够进行情绪管理。</w:t>
      </w:r>
    </w:p>
    <w:p w14:paraId="5FE87EFC">
      <w:pPr>
        <w:pStyle w:val="5"/>
        <w:pageBreakBefore w:val="0"/>
        <w:widowControl w:val="0"/>
        <w:kinsoku/>
        <w:wordWrap/>
        <w:overflowPunct/>
        <w:topLinePunct w:val="0"/>
        <w:autoSpaceDE/>
        <w:autoSpaceDN/>
        <w:bidi w:val="0"/>
        <w:adjustRightInd/>
        <w:snapToGrid/>
        <w:spacing w:before="0" w:after="0" w:line="360" w:lineRule="auto"/>
        <w:ind w:left="0" w:leftChars="0" w:firstLine="482" w:firstLineChars="200"/>
        <w:textAlignment w:val="auto"/>
        <w:rPr>
          <w:rFonts w:ascii="宋体" w:hAnsi="宋体" w:cs="仿宋"/>
          <w:b w:val="0"/>
          <w:bCs w:val="0"/>
          <w:color w:val="auto"/>
          <w:sz w:val="24"/>
          <w:szCs w:val="24"/>
          <w:highlight w:val="none"/>
        </w:rPr>
      </w:pPr>
      <w:bookmarkStart w:id="10" w:name="_bookmark7"/>
      <w:bookmarkEnd w:id="10"/>
      <w:r>
        <w:rPr>
          <w:rFonts w:ascii="宋体" w:hAnsi="宋体" w:cs="仿宋"/>
          <w:color w:val="auto"/>
          <w:sz w:val="24"/>
          <w:szCs w:val="24"/>
          <w:highlight w:val="none"/>
        </w:rPr>
        <w:t>（二）知识</w:t>
      </w:r>
    </w:p>
    <w:p w14:paraId="4276D360">
      <w:pPr>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ascii="宋体" w:hAnsi="宋体" w:cs="仿宋"/>
          <w:color w:val="auto"/>
          <w:sz w:val="24"/>
          <w:highlight w:val="none"/>
        </w:rPr>
      </w:pPr>
      <w:r>
        <w:rPr>
          <w:rFonts w:ascii="宋体" w:hAnsi="宋体" w:cs="仿宋"/>
          <w:b/>
          <w:bCs/>
          <w:color w:val="auto"/>
          <w:sz w:val="24"/>
          <w:highlight w:val="none"/>
        </w:rPr>
        <w:t>1.通识知识</w:t>
      </w:r>
    </w:p>
    <w:p w14:paraId="304238F9">
      <w:pPr>
        <w:pStyle w:val="7"/>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 xml:space="preserve">学习和理解马克思列宁主义、毛泽东思想、邓小平理论、“三个代表”重要思想、科学发展观、习近平新时代中国特色社会主义思想的基本观点、核心内涵和实践要求。 </w:t>
      </w:r>
    </w:p>
    <w:p w14:paraId="3083C49B">
      <w:pPr>
        <w:pStyle w:val="7"/>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熟悉与本专业相关的法律法规以及环境保护、安全消防、文明生产等知识。</w:t>
      </w:r>
    </w:p>
    <w:p w14:paraId="057A5CAA">
      <w:pPr>
        <w:pStyle w:val="7"/>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 xml:space="preserve">掌握运动生理常识和科学锻炼的方法，掌握卫生保健和心理疏导的相关知识。 </w:t>
      </w:r>
    </w:p>
    <w:p w14:paraId="46FD142C">
      <w:pPr>
        <w:pStyle w:val="7"/>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掌握外语、计算机应用等公共基础知识。</w:t>
      </w:r>
    </w:p>
    <w:p w14:paraId="003C2106">
      <w:pPr>
        <w:pStyle w:val="7"/>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掌握创新创业等基本理论和方法。</w:t>
      </w:r>
    </w:p>
    <w:p w14:paraId="4D7A6718">
      <w:pPr>
        <w:pStyle w:val="7"/>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cs="仿宋"/>
          <w:b/>
          <w:bCs/>
          <w:color w:val="auto"/>
          <w:sz w:val="24"/>
          <w:highlight w:val="none"/>
        </w:rPr>
      </w:pPr>
      <w:r>
        <w:rPr>
          <w:rFonts w:ascii="宋体" w:hAnsi="宋体" w:cs="仿宋"/>
          <w:b/>
          <w:bCs/>
          <w:color w:val="auto"/>
          <w:sz w:val="24"/>
          <w:highlight w:val="none"/>
        </w:rPr>
        <w:t>2.专业知识</w:t>
      </w:r>
    </w:p>
    <w:p w14:paraId="66C5691C">
      <w:pPr>
        <w:pStyle w:val="7"/>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 xml:space="preserve">熟悉婴幼儿教育事业和婴幼儿健康教育事业的方针、政策和法规以及环境保护、安全消防等相关知识；了解国内外婴幼儿托育服务与管理的新理论和发展趋势。 </w:t>
      </w:r>
    </w:p>
    <w:p w14:paraId="62B7CA53">
      <w:pPr>
        <w:pStyle w:val="7"/>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掌握婴幼儿</w:t>
      </w:r>
      <w:r>
        <w:rPr>
          <w:rFonts w:hint="eastAsia" w:ascii="宋体" w:hAnsi="宋体" w:cs="宋体"/>
          <w:color w:val="auto"/>
          <w:sz w:val="24"/>
          <w:szCs w:val="24"/>
          <w:highlight w:val="none"/>
          <w:lang w:val="en-US" w:eastAsia="zh-CN"/>
        </w:rPr>
        <w:t>卫生与保健</w:t>
      </w:r>
      <w:r>
        <w:rPr>
          <w:rFonts w:ascii="宋体" w:hAnsi="宋体" w:eastAsia="宋体" w:cs="宋体"/>
          <w:color w:val="auto"/>
          <w:sz w:val="24"/>
          <w:szCs w:val="24"/>
          <w:highlight w:val="none"/>
        </w:rPr>
        <w:t>、婴幼儿教育学、婴幼儿心理学</w:t>
      </w:r>
      <w:r>
        <w:rPr>
          <w:rFonts w:hint="eastAsia" w:ascii="宋体" w:hAnsi="宋体" w:cs="宋体"/>
          <w:color w:val="auto"/>
          <w:sz w:val="24"/>
          <w:szCs w:val="24"/>
          <w:highlight w:val="none"/>
          <w:lang w:val="en-US" w:eastAsia="zh-CN"/>
        </w:rPr>
        <w:t>等</w:t>
      </w:r>
      <w:r>
        <w:rPr>
          <w:rFonts w:ascii="宋体" w:hAnsi="宋体" w:eastAsia="宋体" w:cs="宋体"/>
          <w:color w:val="auto"/>
          <w:sz w:val="24"/>
          <w:szCs w:val="24"/>
          <w:highlight w:val="none"/>
        </w:rPr>
        <w:t xml:space="preserve">相关知识。 </w:t>
      </w:r>
    </w:p>
    <w:p w14:paraId="58CD805E">
      <w:pPr>
        <w:pStyle w:val="7"/>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cs="仿宋"/>
          <w:color w:val="auto"/>
          <w:sz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具有婴幼儿游戏、婴幼儿美术、婴幼儿音乐等方面的专业基础知识。</w:t>
      </w:r>
    </w:p>
    <w:p w14:paraId="0626E851">
      <w:pPr>
        <w:pStyle w:val="5"/>
        <w:pageBreakBefore w:val="0"/>
        <w:widowControl w:val="0"/>
        <w:kinsoku/>
        <w:wordWrap/>
        <w:overflowPunct/>
        <w:topLinePunct w:val="0"/>
        <w:autoSpaceDE/>
        <w:autoSpaceDN/>
        <w:bidi w:val="0"/>
        <w:adjustRightInd/>
        <w:snapToGrid/>
        <w:spacing w:before="0" w:after="0" w:line="360" w:lineRule="auto"/>
        <w:ind w:left="0" w:leftChars="0" w:firstLine="482" w:firstLineChars="200"/>
        <w:textAlignment w:val="auto"/>
        <w:rPr>
          <w:rFonts w:ascii="宋体" w:hAnsi="宋体" w:cs="仿宋"/>
          <w:b w:val="0"/>
          <w:bCs w:val="0"/>
          <w:color w:val="auto"/>
          <w:sz w:val="24"/>
          <w:szCs w:val="24"/>
          <w:highlight w:val="none"/>
        </w:rPr>
      </w:pPr>
      <w:bookmarkStart w:id="11" w:name="_bookmark8"/>
      <w:bookmarkEnd w:id="11"/>
      <w:r>
        <w:rPr>
          <w:rFonts w:ascii="宋体" w:hAnsi="宋体" w:cs="仿宋"/>
          <w:color w:val="auto"/>
          <w:sz w:val="24"/>
          <w:szCs w:val="24"/>
          <w:highlight w:val="none"/>
        </w:rPr>
        <w:t>（三）能力</w:t>
      </w:r>
    </w:p>
    <w:p w14:paraId="254F65B0">
      <w:pPr>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ascii="宋体" w:hAnsi="宋体" w:cs="仿宋"/>
          <w:b/>
          <w:bCs/>
          <w:color w:val="auto"/>
          <w:sz w:val="24"/>
          <w:highlight w:val="none"/>
        </w:rPr>
      </w:pPr>
      <w:r>
        <w:rPr>
          <w:rFonts w:ascii="宋体" w:hAnsi="宋体" w:cs="仿宋"/>
          <w:b/>
          <w:bCs/>
          <w:color w:val="auto"/>
          <w:sz w:val="24"/>
          <w:highlight w:val="none"/>
        </w:rPr>
        <w:t>1.专业技术能力</w:t>
      </w:r>
    </w:p>
    <w:p w14:paraId="38E89611">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 xml:space="preserve">善于观察婴幼儿日常行为表现，善于与婴幼儿顺畅交流，能及时理解婴幼儿需求的能力。 </w:t>
      </w:r>
    </w:p>
    <w:p w14:paraId="4433874E">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 xml:space="preserve">具备创设适宜环境，针对婴幼儿不同年龄阶段的发展需求，运用各种适宜的教育方式设计和组织亲子教育活动的能力。 </w:t>
      </w:r>
    </w:p>
    <w:p w14:paraId="4477B326">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提供生活照料、安全看护、平衡膳食和早期学习机会，促进婴幼儿在认知、动作、 言语和社会性等发展领域全面发展能力。</w:t>
      </w:r>
    </w:p>
    <w:p w14:paraId="5A058FC1">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具备理解和运用专业知识的能力，分析、设计相关课程，组织指导托育机构日常活动和班级管理能力。</w:t>
      </w:r>
    </w:p>
    <w:p w14:paraId="4E0C2EF6">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5）</w:t>
      </w:r>
      <w:r>
        <w:rPr>
          <w:rFonts w:ascii="宋体" w:hAnsi="宋体" w:eastAsia="宋体" w:cs="宋体"/>
          <w:color w:val="auto"/>
          <w:sz w:val="24"/>
          <w:szCs w:val="24"/>
          <w:highlight w:val="none"/>
        </w:rPr>
        <w:t>具有面向家庭、社区，能从事婴幼儿教养的咨询服务，以及对家长提出适宜性教养指导建议的能力。</w:t>
      </w:r>
    </w:p>
    <w:p w14:paraId="1C553710">
      <w:pPr>
        <w:pageBreakBefore w:val="0"/>
        <w:widowControl w:val="0"/>
        <w:numPr>
          <w:ilvl w:val="0"/>
          <w:numId w:val="4"/>
        </w:numPr>
        <w:kinsoku/>
        <w:wordWrap/>
        <w:overflowPunct/>
        <w:topLinePunct w:val="0"/>
        <w:autoSpaceDE/>
        <w:autoSpaceDN/>
        <w:bidi w:val="0"/>
        <w:adjustRightInd/>
        <w:snapToGrid/>
        <w:spacing w:line="360" w:lineRule="auto"/>
        <w:ind w:left="0" w:leftChars="0" w:firstLine="482" w:firstLineChars="200"/>
        <w:textAlignment w:val="auto"/>
        <w:rPr>
          <w:rFonts w:ascii="宋体" w:hAnsi="宋体" w:cs="仿宋"/>
          <w:b/>
          <w:bCs/>
          <w:color w:val="auto"/>
          <w:sz w:val="24"/>
          <w:highlight w:val="none"/>
        </w:rPr>
      </w:pPr>
      <w:r>
        <w:rPr>
          <w:rFonts w:ascii="宋体" w:hAnsi="宋体" w:cs="仿宋"/>
          <w:b/>
          <w:bCs/>
          <w:color w:val="auto"/>
          <w:sz w:val="24"/>
          <w:highlight w:val="none"/>
        </w:rPr>
        <w:t>通用职业技能</w:t>
      </w:r>
    </w:p>
    <w:p w14:paraId="1BD3CC02">
      <w:pPr>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具有探究学习、终身学习、分析问题和解决问题的能力。</w:t>
      </w:r>
    </w:p>
    <w:p w14:paraId="64E695D8">
      <w:pPr>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仿宋"/>
          <w:b w:val="0"/>
          <w:bCs w:val="0"/>
          <w:color w:val="auto"/>
          <w:sz w:val="24"/>
          <w:highlight w:val="none"/>
        </w:rPr>
      </w:pPr>
      <w:r>
        <w:rPr>
          <w:rFonts w:ascii="宋体" w:hAnsi="宋体" w:eastAsia="宋体" w:cs="宋体"/>
          <w:b w:val="0"/>
          <w:bCs w:val="0"/>
          <w:color w:val="auto"/>
          <w:sz w:val="24"/>
          <w:szCs w:val="24"/>
          <w:highlight w:val="none"/>
        </w:rPr>
        <w:t xml:space="preserve">具有良好的语言、文字表达能力和人际沟通能力。 </w:t>
      </w:r>
    </w:p>
    <w:p w14:paraId="78664035">
      <w:pPr>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仿宋"/>
          <w:b w:val="0"/>
          <w:bCs w:val="0"/>
          <w:color w:val="auto"/>
          <w:sz w:val="24"/>
          <w:highlight w:val="none"/>
        </w:rPr>
      </w:pPr>
      <w:r>
        <w:rPr>
          <w:rFonts w:ascii="宋体" w:hAnsi="宋体" w:eastAsia="宋体" w:cs="宋体"/>
          <w:b w:val="0"/>
          <w:bCs w:val="0"/>
          <w:color w:val="auto"/>
          <w:sz w:val="24"/>
          <w:szCs w:val="24"/>
          <w:highlight w:val="none"/>
        </w:rPr>
        <w:t>具有文字、表格、图像的计算机处理能力，本专业必需的信息技术应用能力。</w:t>
      </w:r>
    </w:p>
    <w:p w14:paraId="5DC8861B">
      <w:pPr>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cs="仿宋"/>
          <w:b w:val="0"/>
          <w:bCs w:val="0"/>
          <w:color w:val="auto"/>
          <w:sz w:val="24"/>
          <w:highlight w:val="none"/>
        </w:rPr>
      </w:pPr>
      <w:r>
        <w:rPr>
          <w:rFonts w:ascii="宋体" w:hAnsi="宋体" w:eastAsia="宋体" w:cs="宋体"/>
          <w:b w:val="0"/>
          <w:bCs w:val="0"/>
          <w:color w:val="auto"/>
          <w:sz w:val="24"/>
          <w:szCs w:val="24"/>
          <w:highlight w:val="none"/>
        </w:rPr>
        <w:t xml:space="preserve">具备时间及资源管理能力。 </w:t>
      </w:r>
    </w:p>
    <w:p w14:paraId="10843893">
      <w:pPr>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仿宋"/>
          <w:b/>
          <w:bCs/>
          <w:color w:val="auto"/>
          <w:sz w:val="24"/>
          <w:highlight w:val="none"/>
        </w:rPr>
      </w:pPr>
      <w:r>
        <w:rPr>
          <w:rFonts w:ascii="宋体" w:hAnsi="宋体" w:eastAsia="宋体" w:cs="宋体"/>
          <w:color w:val="auto"/>
          <w:sz w:val="24"/>
          <w:szCs w:val="24"/>
          <w:highlight w:val="none"/>
        </w:rPr>
        <w:t>具备使用专业知识和技能，能够适应经济社会发展的能力。</w:t>
      </w:r>
    </w:p>
    <w:p w14:paraId="44E487F3">
      <w:pPr>
        <w:rPr>
          <w:color w:val="auto"/>
          <w:highlight w:val="none"/>
        </w:rPr>
      </w:pPr>
    </w:p>
    <w:p w14:paraId="23AC07B5">
      <w:pPr>
        <w:pStyle w:val="3"/>
        <w:numPr>
          <w:numId w:val="0"/>
        </w:numPr>
        <w:spacing w:line="360" w:lineRule="auto"/>
        <w:ind w:left="-2" w:leftChars="-2" w:hanging="2" w:hangingChars="1"/>
        <w:rPr>
          <w:color w:val="auto"/>
          <w:highlight w:val="none"/>
        </w:rPr>
      </w:pPr>
      <w:bookmarkStart w:id="12" w:name="_Toc197702693"/>
      <w:r>
        <w:rPr>
          <w:rFonts w:hint="default" w:ascii="Times New Roman" w:hAnsi="Times New Roman" w:eastAsia="黑体" w:cs="Times New Roman"/>
          <w:color w:val="auto"/>
          <w:kern w:val="2"/>
          <w:sz w:val="28"/>
          <w:szCs w:val="24"/>
          <w:lang w:val="en-US" w:eastAsia="zh-CN" w:bidi="ar-SA"/>
        </w:rPr>
        <w:t>六、</w:t>
      </w:r>
      <w:r>
        <w:rPr>
          <w:color w:val="auto"/>
          <w:highlight w:val="none"/>
        </w:rPr>
        <w:t>课程设置及学时安排</w:t>
      </w:r>
      <w:r>
        <w:rPr>
          <w:rFonts w:hint="eastAsia"/>
          <w:vanish/>
          <w:color w:val="auto"/>
          <w:highlight w:val="none"/>
        </w:rPr>
        <w:t>（参照教育部标准）</w:t>
      </w:r>
      <w:bookmarkEnd w:id="12"/>
    </w:p>
    <w:p w14:paraId="19B0638D">
      <w:pPr>
        <w:pStyle w:val="4"/>
        <w:pageBreakBefore w:val="0"/>
        <w:widowControl w:val="0"/>
        <w:numPr>
          <w:ilvl w:val="0"/>
          <w:numId w:val="6"/>
        </w:numPr>
        <w:kinsoku/>
        <w:wordWrap/>
        <w:overflowPunct/>
        <w:topLinePunct w:val="0"/>
        <w:autoSpaceDE/>
        <w:autoSpaceDN/>
        <w:bidi w:val="0"/>
        <w:adjustRightInd/>
        <w:spacing w:before="0" w:after="0" w:line="360" w:lineRule="auto"/>
        <w:ind w:left="0" w:right="0" w:firstLine="480"/>
        <w:textAlignment w:val="auto"/>
        <w:rPr>
          <w:rFonts w:hint="eastAsia" w:ascii="宋体" w:hAnsi="宋体" w:eastAsia="宋体" w:cs="宋体"/>
          <w:b w:val="0"/>
          <w:bCs w:val="0"/>
          <w:color w:val="auto"/>
          <w:sz w:val="24"/>
          <w:szCs w:val="24"/>
          <w:highlight w:val="none"/>
        </w:rPr>
      </w:pPr>
      <w:bookmarkStart w:id="13" w:name="_Toc197702694"/>
      <w:r>
        <w:rPr>
          <w:rFonts w:hint="eastAsia" w:ascii="宋体" w:hAnsi="宋体" w:eastAsia="宋体" w:cs="宋体"/>
          <w:b w:val="0"/>
          <w:bCs w:val="0"/>
          <w:color w:val="auto"/>
          <w:sz w:val="24"/>
          <w:szCs w:val="24"/>
          <w:highlight w:val="none"/>
        </w:rPr>
        <w:t>公共基础课程</w:t>
      </w:r>
      <w:bookmarkEnd w:id="13"/>
    </w:p>
    <w:p w14:paraId="31438029">
      <w:pPr>
        <w:pStyle w:val="7"/>
        <w:pageBreakBefore w:val="0"/>
        <w:widowControl w:val="0"/>
        <w:kinsoku/>
        <w:wordWrap/>
        <w:overflowPunct/>
        <w:topLinePunct w:val="0"/>
        <w:autoSpaceDE/>
        <w:autoSpaceDN/>
        <w:bidi w:val="0"/>
        <w:adjustRightInd/>
        <w:spacing w:after="0"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按照国家有关规定开齐开足公共基础课程。</w:t>
      </w:r>
    </w:p>
    <w:p w14:paraId="0C90B46A">
      <w:pPr>
        <w:pStyle w:val="7"/>
        <w:pageBreakBefore w:val="0"/>
        <w:widowControl w:val="0"/>
        <w:kinsoku/>
        <w:wordWrap/>
        <w:overflowPunct/>
        <w:topLinePunct w:val="0"/>
        <w:autoSpaceDE/>
        <w:autoSpaceDN/>
        <w:bidi w:val="0"/>
        <w:adjustRightInd/>
        <w:spacing w:after="0" w:line="360" w:lineRule="auto"/>
        <w:ind w:left="0" w:right="0" w:firstLine="432"/>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应将思想政治理论、体育、军事理论与军训、心理健康教育、劳动教育等列为公共基础必修课程。将马克思主义理论类课程、国家安全教育</w:t>
      </w:r>
      <w:r>
        <w:rPr>
          <w:rFonts w:hint="eastAsia" w:ascii="宋体" w:hAnsi="宋体" w:eastAsia="宋体" w:cs="宋体"/>
          <w:color w:val="auto"/>
          <w:spacing w:val="7"/>
          <w:sz w:val="24"/>
          <w:szCs w:val="24"/>
          <w:highlight w:val="none"/>
          <w:lang w:eastAsia="zh-CN"/>
        </w:rPr>
        <w:t>、习近平新时代中国特色社会主义思想概论、大学语文、大学英语、就业与创业指导</w:t>
      </w:r>
      <w:r>
        <w:rPr>
          <w:rFonts w:hint="eastAsia" w:ascii="宋体" w:hAnsi="宋体" w:eastAsia="宋体" w:cs="宋体"/>
          <w:color w:val="auto"/>
          <w:spacing w:val="7"/>
          <w:sz w:val="24"/>
          <w:szCs w:val="24"/>
          <w:highlight w:val="none"/>
        </w:rPr>
        <w:t>等列为</w:t>
      </w:r>
      <w:r>
        <w:rPr>
          <w:rFonts w:hint="eastAsia" w:ascii="宋体" w:hAnsi="宋体" w:eastAsia="宋体" w:cs="宋体"/>
          <w:color w:val="auto"/>
          <w:spacing w:val="3"/>
          <w:sz w:val="24"/>
          <w:szCs w:val="24"/>
          <w:highlight w:val="none"/>
        </w:rPr>
        <w:t>必修课程或限定选修课程。</w:t>
      </w:r>
    </w:p>
    <w:p w14:paraId="3399FE02">
      <w:pPr>
        <w:pageBreakBefore w:val="0"/>
        <w:widowControl w:val="0"/>
        <w:kinsoku/>
        <w:wordWrap/>
        <w:overflowPunct/>
        <w:topLinePunct w:val="0"/>
        <w:autoSpaceDE/>
        <w:autoSpaceDN/>
        <w:bidi w:val="0"/>
        <w:adjustRightInd/>
        <w:spacing w:line="360" w:lineRule="auto"/>
        <w:ind w:left="0" w:right="0"/>
        <w:textAlignment w:val="auto"/>
        <w:rPr>
          <w:rFonts w:hint="eastAsia" w:ascii="宋体" w:hAnsi="宋体" w:eastAsia="宋体" w:cs="宋体"/>
          <w:color w:val="auto"/>
          <w:sz w:val="24"/>
          <w:szCs w:val="24"/>
          <w:highlight w:val="none"/>
        </w:rPr>
      </w:pPr>
    </w:p>
    <w:p w14:paraId="1EE7E5ED">
      <w:pPr>
        <w:pStyle w:val="4"/>
        <w:pageBreakBefore w:val="0"/>
        <w:widowControl w:val="0"/>
        <w:numPr>
          <w:ilvl w:val="0"/>
          <w:numId w:val="6"/>
        </w:numPr>
        <w:kinsoku/>
        <w:wordWrap/>
        <w:overflowPunct/>
        <w:topLinePunct w:val="0"/>
        <w:autoSpaceDE/>
        <w:autoSpaceDN/>
        <w:bidi w:val="0"/>
        <w:adjustRightInd/>
        <w:spacing w:before="0" w:after="0" w:line="360" w:lineRule="auto"/>
        <w:ind w:left="0" w:right="0" w:firstLine="480"/>
        <w:textAlignment w:val="auto"/>
        <w:rPr>
          <w:rFonts w:hint="eastAsia" w:ascii="宋体" w:hAnsi="宋体" w:eastAsia="宋体" w:cs="宋体"/>
          <w:b w:val="0"/>
          <w:bCs w:val="0"/>
          <w:color w:val="auto"/>
          <w:sz w:val="24"/>
          <w:szCs w:val="24"/>
          <w:highlight w:val="none"/>
        </w:rPr>
      </w:pPr>
      <w:bookmarkStart w:id="14" w:name="_Toc197702695"/>
      <w:r>
        <w:rPr>
          <w:rFonts w:hint="eastAsia" w:ascii="宋体" w:hAnsi="宋体" w:eastAsia="宋体" w:cs="宋体"/>
          <w:b w:val="0"/>
          <w:bCs w:val="0"/>
          <w:color w:val="auto"/>
          <w:sz w:val="24"/>
          <w:szCs w:val="24"/>
          <w:highlight w:val="none"/>
        </w:rPr>
        <w:t>专业课程</w:t>
      </w:r>
      <w:bookmarkEnd w:id="14"/>
    </w:p>
    <w:p w14:paraId="416C766F">
      <w:pPr>
        <w:pageBreakBefore w:val="0"/>
        <w:widowControl w:val="0"/>
        <w:kinsoku/>
        <w:wordWrap/>
        <w:overflowPunct/>
        <w:topLinePunct w:val="0"/>
        <w:autoSpaceDE/>
        <w:autoSpaceDN/>
        <w:bidi w:val="0"/>
        <w:adjustRightInd/>
        <w:snapToGrid w:val="0"/>
        <w:spacing w:line="360" w:lineRule="auto"/>
        <w:ind w:left="0" w:right="0"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（1）专业基础课程</w:t>
      </w:r>
    </w:p>
    <w:p w14:paraId="48D78F89">
      <w:pPr>
        <w:pStyle w:val="7"/>
        <w:pageBreakBefore w:val="0"/>
        <w:widowControl w:val="0"/>
        <w:kinsoku/>
        <w:wordWrap/>
        <w:overflowPunct/>
        <w:topLinePunct w:val="0"/>
        <w:autoSpaceDE/>
        <w:autoSpaceDN/>
        <w:bidi w:val="0"/>
        <w:adjustRightInd/>
        <w:spacing w:after="0" w:line="360" w:lineRule="auto"/>
        <w:ind w:left="0" w:right="0" w:firstLine="428"/>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主要包括：</w:t>
      </w:r>
      <w:r>
        <w:rPr>
          <w:rFonts w:hint="eastAsia" w:ascii="宋体" w:hAnsi="宋体" w:eastAsia="宋体" w:cs="宋体"/>
          <w:color w:val="auto"/>
          <w:spacing w:val="4"/>
          <w:sz w:val="24"/>
          <w:szCs w:val="24"/>
          <w:highlight w:val="none"/>
        </w:rPr>
        <w:t>婴幼儿卫生与保健、</w:t>
      </w:r>
      <w:r>
        <w:rPr>
          <w:rFonts w:hint="eastAsia" w:ascii="宋体" w:hAnsi="宋体" w:eastAsia="宋体" w:cs="宋体"/>
          <w:color w:val="auto"/>
          <w:spacing w:val="7"/>
          <w:sz w:val="24"/>
          <w:szCs w:val="24"/>
          <w:highlight w:val="none"/>
        </w:rPr>
        <w:t>婴幼儿心理发展、</w:t>
      </w:r>
      <w:r>
        <w:rPr>
          <w:rFonts w:hint="eastAsia" w:ascii="宋体" w:hAnsi="宋体" w:eastAsia="宋体" w:cs="宋体"/>
          <w:color w:val="auto"/>
          <w:spacing w:val="7"/>
          <w:sz w:val="24"/>
          <w:szCs w:val="24"/>
          <w:highlight w:val="none"/>
          <w:lang w:val="en-US" w:eastAsia="zh-CN"/>
        </w:rPr>
        <w:t>婴幼儿教育学、</w:t>
      </w:r>
      <w:r>
        <w:rPr>
          <w:rFonts w:hint="eastAsia" w:ascii="宋体" w:hAnsi="宋体" w:eastAsia="宋体" w:cs="宋体"/>
          <w:color w:val="auto"/>
          <w:spacing w:val="4"/>
          <w:sz w:val="24"/>
          <w:szCs w:val="24"/>
          <w:highlight w:val="none"/>
        </w:rPr>
        <w:t>婴幼儿学习与发展、</w:t>
      </w:r>
      <w:r>
        <w:rPr>
          <w:rFonts w:hint="eastAsia" w:ascii="宋体" w:hAnsi="宋体" w:eastAsia="宋体" w:cs="宋体"/>
          <w:color w:val="auto"/>
          <w:spacing w:val="7"/>
          <w:sz w:val="24"/>
          <w:szCs w:val="24"/>
          <w:highlight w:val="none"/>
        </w:rPr>
        <w:t>托育服务政策法规与职业伦理</w:t>
      </w:r>
      <w:r>
        <w:rPr>
          <w:rFonts w:hint="eastAsia" w:ascii="宋体" w:hAnsi="宋体" w:eastAsia="宋体" w:cs="宋体"/>
          <w:color w:val="auto"/>
          <w:spacing w:val="3"/>
          <w:sz w:val="24"/>
          <w:szCs w:val="24"/>
          <w:highlight w:val="none"/>
        </w:rPr>
        <w:t>等领域的内容。</w:t>
      </w:r>
    </w:p>
    <w:p w14:paraId="79086925">
      <w:pPr>
        <w:pageBreakBefore w:val="0"/>
        <w:widowControl w:val="0"/>
        <w:kinsoku/>
        <w:wordWrap/>
        <w:overflowPunct/>
        <w:topLinePunct w:val="0"/>
        <w:autoSpaceDE/>
        <w:autoSpaceDN/>
        <w:bidi w:val="0"/>
        <w:adjustRightInd/>
        <w:snapToGrid w:val="0"/>
        <w:spacing w:line="360" w:lineRule="auto"/>
        <w:ind w:left="0" w:right="0"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（2）专业核心课程</w:t>
      </w:r>
    </w:p>
    <w:p w14:paraId="1CB1E017">
      <w:pPr>
        <w:pageBreakBefore w:val="0"/>
        <w:widowControl w:val="0"/>
        <w:kinsoku/>
        <w:wordWrap/>
        <w:overflowPunct/>
        <w:topLinePunct w:val="0"/>
        <w:autoSpaceDE/>
        <w:autoSpaceDN/>
        <w:bidi w:val="0"/>
        <w:adjustRightInd/>
        <w:snapToGrid w:val="0"/>
        <w:spacing w:line="360" w:lineRule="auto"/>
        <w:ind w:left="0" w:right="0" w:firstLine="508" w:firstLineChars="200"/>
        <w:contextualSpacing/>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7"/>
          <w:sz w:val="24"/>
          <w:szCs w:val="24"/>
          <w:highlight w:val="none"/>
        </w:rPr>
        <w:t>主要包括：</w:t>
      </w:r>
      <w:r>
        <w:rPr>
          <w:rFonts w:hint="eastAsia" w:ascii="宋体" w:hAnsi="宋体" w:eastAsia="宋体" w:cs="宋体"/>
          <w:color w:val="auto"/>
          <w:spacing w:val="7"/>
          <w:sz w:val="24"/>
          <w:szCs w:val="24"/>
          <w:highlight w:val="none"/>
          <w:lang w:val="en-US" w:eastAsia="zh-CN"/>
        </w:rPr>
        <w:t>钢琴与音乐欣赏、婴幼儿舞蹈创编、托育机构玩教具制作与环境创设、婴幼儿行为观察与评价、婴幼儿游戏活动实施、婴幼儿回应性照料、托育机构管理实务、婴幼儿教学方法与实践等部分内容。</w:t>
      </w:r>
    </w:p>
    <w:p w14:paraId="4AEEC4DA">
      <w:pPr>
        <w:snapToGrid w:val="0"/>
        <w:ind w:firstLine="420" w:firstLineChars="200"/>
        <w:contextualSpacing/>
        <w:rPr>
          <w:color w:val="auto"/>
          <w:highlight w:val="none"/>
        </w:rPr>
      </w:pPr>
    </w:p>
    <w:p w14:paraId="136D6C5C">
      <w:pPr>
        <w:snapToGrid w:val="0"/>
        <w:ind w:firstLine="422" w:firstLineChars="200"/>
        <w:contextualSpacing/>
        <w:jc w:val="center"/>
        <w:rPr>
          <w:b/>
          <w:bCs/>
          <w:color w:val="auto"/>
          <w:highlight w:val="none"/>
        </w:rPr>
      </w:pPr>
      <w:r>
        <w:rPr>
          <w:rFonts w:hint="eastAsia"/>
          <w:b/>
          <w:bCs/>
          <w:color w:val="auto"/>
          <w:highlight w:val="none"/>
        </w:rPr>
        <w:t>专业核心课程主要教学内容与要求</w:t>
      </w:r>
    </w:p>
    <w:tbl>
      <w:tblPr>
        <w:tblStyle w:val="132"/>
        <w:tblW w:w="5010" w:type="pct"/>
        <w:tblInd w:w="0" w:type="dxa"/>
        <w:tblLayout w:type="autofit"/>
        <w:tblCellMar>
          <w:top w:w="0" w:type="dxa"/>
          <w:left w:w="0" w:type="dxa"/>
          <w:bottom w:w="0" w:type="dxa"/>
          <w:right w:w="0" w:type="dxa"/>
        </w:tblCellMar>
      </w:tblPr>
      <w:tblGrid>
        <w:gridCol w:w="565"/>
        <w:gridCol w:w="3146"/>
        <w:gridCol w:w="3830"/>
        <w:gridCol w:w="1938"/>
      </w:tblGrid>
      <w:tr w14:paraId="6F36FCFE">
        <w:tblPrEx>
          <w:tblCellMar>
            <w:top w:w="0" w:type="dxa"/>
            <w:left w:w="0" w:type="dxa"/>
            <w:bottom w:w="0" w:type="dxa"/>
            <w:right w:w="0" w:type="dxa"/>
          </w:tblCellMar>
        </w:tblPrEx>
        <w:trPr>
          <w:trHeight w:val="408" w:hRule="exact"/>
          <w:tblHead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color w:val="auto"/>
                <w:highlight w:val="none"/>
                <w:lang w:eastAsia="zh-CN"/>
              </w:rPr>
            </w:pPr>
            <w:r>
              <w:rPr>
                <w:rFonts w:hint="eastAsia" w:eastAsia="宋体"/>
                <w:color w:val="auto"/>
                <w:highlight w:val="none"/>
                <w:lang w:eastAsia="zh-CN"/>
              </w:rPr>
              <w:t>序号</w:t>
            </w:r>
          </w:p>
        </w:tc>
        <w:tc>
          <w:tcPr>
            <w:tcW w:w="1659"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color w:val="auto"/>
                <w:highlight w:val="none"/>
                <w:lang w:eastAsia="zh-CN"/>
              </w:rPr>
            </w:pPr>
            <w:r>
              <w:rPr>
                <w:rFonts w:hint="eastAsia" w:eastAsia="宋体"/>
                <w:color w:val="auto"/>
                <w:highlight w:val="none"/>
                <w:lang w:eastAsia="zh-CN"/>
              </w:rPr>
              <w:t>课程涉及的主要领域</w:t>
            </w:r>
          </w:p>
        </w:tc>
        <w:tc>
          <w:tcPr>
            <w:tcW w:w="2020"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color w:val="auto"/>
                <w:highlight w:val="none"/>
                <w:lang w:eastAsia="zh-CN"/>
              </w:rPr>
            </w:pPr>
            <w:r>
              <w:rPr>
                <w:rFonts w:hint="eastAsia" w:eastAsia="宋体"/>
                <w:color w:val="auto"/>
                <w:highlight w:val="none"/>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color w:val="auto"/>
                <w:highlight w:val="none"/>
                <w:lang w:eastAsia="zh-CN"/>
              </w:rPr>
            </w:pPr>
            <w:r>
              <w:rPr>
                <w:rFonts w:hint="eastAsia" w:eastAsia="宋体"/>
                <w:color w:val="auto"/>
                <w:highlight w:val="none"/>
                <w:lang w:eastAsia="zh-CN"/>
              </w:rPr>
              <w:t>主要教学内容与要求</w:t>
            </w:r>
          </w:p>
        </w:tc>
      </w:tr>
      <w:tr w14:paraId="783FE12E">
        <w:tblPrEx>
          <w:tblCellMar>
            <w:top w:w="0" w:type="dxa"/>
            <w:left w:w="0" w:type="dxa"/>
            <w:bottom w:w="0" w:type="dxa"/>
            <w:right w:w="0" w:type="dxa"/>
          </w:tblCellMar>
        </w:tblPrEx>
        <w:trPr>
          <w:trHeight w:val="908" w:hRule="atLeast"/>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3"/>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宋体" w:hAnsi="宋体" w:eastAsia="宋体" w:cs="宋体"/>
                <w:color w:val="auto"/>
                <w:sz w:val="18"/>
                <w:szCs w:val="18"/>
                <w:highlight w:val="none"/>
                <w:lang w:eastAsia="zh-CN"/>
              </w:rPr>
            </w:pPr>
            <w:r>
              <w:rPr>
                <w:rFonts w:hint="default" w:ascii="宋体" w:hAnsi="宋体" w:eastAsia="宋体" w:cs="宋体"/>
                <w:color w:val="auto"/>
                <w:kern w:val="0"/>
                <w:sz w:val="18"/>
                <w:szCs w:val="18"/>
                <w:lang w:val="en-US" w:eastAsia="zh-CN" w:bidi="ar-SA"/>
              </w:rPr>
              <w:t>1.</w:t>
            </w:r>
          </w:p>
        </w:tc>
        <w:tc>
          <w:tcPr>
            <w:tcW w:w="1659" w:type="pct"/>
            <w:tcBorders>
              <w:top w:val="single" w:color="000000" w:sz="4" w:space="0"/>
              <w:left w:val="single" w:color="auto" w:sz="4" w:space="0"/>
              <w:bottom w:val="single" w:color="000000" w:sz="4" w:space="0"/>
              <w:right w:val="single" w:color="000000" w:sz="4" w:space="0"/>
            </w:tcBorders>
            <w:vAlign w:val="center"/>
          </w:tcPr>
          <w:p w14:paraId="7D2FFE10">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lang w:val="en-US" w:eastAsia="zh-CN"/>
              </w:rPr>
              <w:t>钢琴与音乐欣赏</w:t>
            </w:r>
          </w:p>
        </w:tc>
        <w:tc>
          <w:tcPr>
            <w:tcW w:w="2020" w:type="pct"/>
            <w:tcBorders>
              <w:top w:val="single" w:color="000000" w:sz="4" w:space="0"/>
              <w:left w:val="single" w:color="000000" w:sz="4" w:space="0"/>
              <w:bottom w:val="single" w:color="000000" w:sz="4" w:space="0"/>
              <w:right w:val="single" w:color="000000" w:sz="4" w:space="0"/>
            </w:tcBorders>
            <w:vAlign w:val="center"/>
          </w:tcPr>
          <w:p w14:paraId="3532B4A2">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i w:val="0"/>
                <w:iCs w:val="0"/>
                <w:caps w:val="0"/>
                <w:color w:val="auto"/>
                <w:spacing w:val="0"/>
                <w:sz w:val="18"/>
                <w:szCs w:val="18"/>
                <w:highlight w:val="none"/>
                <w:shd w:val="clear" w:fill="FFFFFF"/>
              </w:rPr>
            </w:pPr>
            <w:r>
              <w:rPr>
                <w:rFonts w:hint="eastAsia" w:ascii="宋体" w:hAnsi="宋体" w:eastAsia="宋体" w:cs="宋体"/>
                <w:color w:val="auto"/>
                <w:spacing w:val="5"/>
                <w:sz w:val="18"/>
                <w:szCs w:val="18"/>
                <w:highlight w:val="none"/>
              </w:rPr>
              <w:t>①</w:t>
            </w:r>
            <w:r>
              <w:rPr>
                <w:rFonts w:hint="eastAsia" w:ascii="宋体" w:hAnsi="宋体" w:eastAsia="宋体" w:cs="宋体"/>
                <w:i w:val="0"/>
                <w:iCs w:val="0"/>
                <w:caps w:val="0"/>
                <w:color w:val="auto"/>
                <w:spacing w:val="0"/>
                <w:sz w:val="18"/>
                <w:szCs w:val="18"/>
                <w:highlight w:val="none"/>
                <w:shd w:val="clear" w:fill="FFFFFF"/>
              </w:rPr>
              <w:t>能够熟练弹唱适合0-3岁婴幼儿的经典儿歌、童谣及节奏游戏歌曲，并掌握在托育机构中运用音乐活动促进婴幼儿语言、认知和情感发展的教学方法。</w:t>
            </w:r>
          </w:p>
          <w:p w14:paraId="060921C2">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i w:val="0"/>
                <w:iCs w:val="0"/>
                <w:caps w:val="0"/>
                <w:color w:val="auto"/>
                <w:spacing w:val="0"/>
                <w:sz w:val="18"/>
                <w:szCs w:val="18"/>
                <w:highlight w:val="none"/>
                <w:shd w:val="clear" w:fill="FFFFFF"/>
                <w:lang w:val="en-US" w:eastAsia="zh-CN"/>
              </w:rPr>
            </w:pPr>
            <w:r>
              <w:rPr>
                <w:rFonts w:hint="eastAsia" w:ascii="宋体" w:hAnsi="宋体" w:eastAsia="宋体" w:cs="宋体"/>
                <w:color w:val="auto"/>
                <w:spacing w:val="7"/>
                <w:sz w:val="18"/>
                <w:szCs w:val="18"/>
                <w:highlight w:val="none"/>
              </w:rPr>
              <w:t>②</w:t>
            </w:r>
            <w:r>
              <w:rPr>
                <w:rFonts w:hint="eastAsia" w:ascii="宋体" w:hAnsi="宋体" w:eastAsia="宋体" w:cs="宋体"/>
                <w:i w:val="0"/>
                <w:iCs w:val="0"/>
                <w:caps w:val="0"/>
                <w:color w:val="auto"/>
                <w:spacing w:val="0"/>
                <w:sz w:val="18"/>
                <w:szCs w:val="18"/>
                <w:highlight w:val="none"/>
                <w:shd w:val="clear" w:fill="FFFFFF"/>
              </w:rPr>
              <w:t>根据婴幼儿的年龄特点和发展需求，设计趣味性强、互动性高的音乐活动，并能在集体或个别照护情境中灵活实施，提升婴幼儿的听觉感知与音乐兴趣</w:t>
            </w:r>
          </w:p>
        </w:tc>
        <w:tc>
          <w:tcPr>
            <w:tcW w:w="1022" w:type="pct"/>
            <w:tcBorders>
              <w:top w:val="single" w:color="000000" w:sz="4" w:space="0"/>
              <w:left w:val="single" w:color="000000" w:sz="4" w:space="0"/>
              <w:bottom w:val="single" w:color="000000" w:sz="4" w:space="0"/>
              <w:right w:val="single" w:color="000000" w:sz="4" w:space="0"/>
            </w:tcBorders>
            <w:vAlign w:val="center"/>
          </w:tcPr>
          <w:p w14:paraId="75487866">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i w:val="0"/>
                <w:iCs w:val="0"/>
                <w:caps w:val="0"/>
                <w:color w:val="auto"/>
                <w:spacing w:val="0"/>
                <w:sz w:val="18"/>
                <w:szCs w:val="18"/>
                <w:highlight w:val="none"/>
                <w:shd w:val="clear" w:fill="FFFFFF"/>
              </w:rPr>
            </w:pPr>
            <w:r>
              <w:rPr>
                <w:rFonts w:hint="eastAsia" w:ascii="宋体" w:hAnsi="宋体" w:eastAsia="宋体" w:cs="宋体"/>
                <w:color w:val="auto"/>
                <w:spacing w:val="5"/>
                <w:sz w:val="18"/>
                <w:szCs w:val="18"/>
                <w:highlight w:val="none"/>
              </w:rPr>
              <w:t>①</w:t>
            </w:r>
            <w:r>
              <w:rPr>
                <w:rFonts w:hint="eastAsia" w:ascii="宋体" w:hAnsi="宋体" w:eastAsia="宋体" w:cs="宋体"/>
                <w:i w:val="0"/>
                <w:iCs w:val="0"/>
                <w:caps w:val="0"/>
                <w:color w:val="auto"/>
                <w:spacing w:val="0"/>
                <w:sz w:val="18"/>
                <w:szCs w:val="18"/>
                <w:highlight w:val="none"/>
                <w:shd w:val="clear" w:fill="FFFFFF"/>
              </w:rPr>
              <w:t>婴幼儿歌曲的弹奏技巧演唱方法，重点训练音准、节奏与表现力。</w:t>
            </w:r>
          </w:p>
          <w:p w14:paraId="05A5346E">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i w:val="0"/>
                <w:iCs w:val="0"/>
                <w:caps w:val="0"/>
                <w:color w:val="auto"/>
                <w:spacing w:val="0"/>
                <w:sz w:val="18"/>
                <w:szCs w:val="18"/>
                <w:highlight w:val="none"/>
                <w:shd w:val="clear" w:fill="FFFFFF"/>
                <w:lang w:eastAsia="zh-CN"/>
              </w:rPr>
            </w:pPr>
            <w:r>
              <w:rPr>
                <w:rFonts w:hint="eastAsia" w:ascii="宋体" w:hAnsi="宋体" w:eastAsia="宋体" w:cs="宋体"/>
                <w:color w:val="auto"/>
                <w:spacing w:val="7"/>
                <w:sz w:val="18"/>
                <w:szCs w:val="18"/>
                <w:highlight w:val="none"/>
              </w:rPr>
              <w:t>②</w:t>
            </w:r>
            <w:r>
              <w:rPr>
                <w:rFonts w:hint="eastAsia" w:ascii="宋体" w:hAnsi="宋体" w:eastAsia="宋体" w:cs="宋体"/>
                <w:i w:val="0"/>
                <w:iCs w:val="0"/>
                <w:caps w:val="0"/>
                <w:color w:val="auto"/>
                <w:spacing w:val="0"/>
                <w:sz w:val="18"/>
                <w:szCs w:val="18"/>
                <w:highlight w:val="none"/>
                <w:shd w:val="clear" w:fill="FFFFFF"/>
              </w:rPr>
              <w:t>婴幼儿音乐活动的设计原则（如重复性、互动性、生活化）及课堂组织技巧（如律动、乐器探索、亲子音乐游戏）</w:t>
            </w:r>
          </w:p>
        </w:tc>
      </w:tr>
      <w:tr w14:paraId="3EEFB324">
        <w:tblPrEx>
          <w:tblCellMar>
            <w:top w:w="0" w:type="dxa"/>
            <w:left w:w="0" w:type="dxa"/>
            <w:bottom w:w="0" w:type="dxa"/>
            <w:right w:w="0" w:type="dxa"/>
          </w:tblCellMar>
        </w:tblPrEx>
        <w:trPr>
          <w:trHeight w:val="908" w:hRule="atLeast"/>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3"/>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宋体" w:hAnsi="宋体" w:eastAsia="宋体" w:cs="宋体"/>
                <w:color w:val="auto"/>
                <w:sz w:val="18"/>
                <w:szCs w:val="18"/>
                <w:highlight w:val="none"/>
                <w:lang w:eastAsia="zh-CN"/>
              </w:rPr>
            </w:pPr>
            <w:r>
              <w:rPr>
                <w:rFonts w:hint="default" w:ascii="宋体" w:hAnsi="宋体" w:eastAsia="宋体" w:cs="宋体"/>
                <w:color w:val="auto"/>
                <w:kern w:val="2"/>
                <w:sz w:val="18"/>
                <w:szCs w:val="18"/>
                <w:lang w:val="en-US" w:eastAsia="zh-CN" w:bidi="ar-SA"/>
              </w:rPr>
              <w:t>2.</w:t>
            </w:r>
          </w:p>
        </w:tc>
        <w:tc>
          <w:tcPr>
            <w:tcW w:w="1659" w:type="pct"/>
            <w:tcBorders>
              <w:top w:val="single" w:color="000000" w:sz="4" w:space="0"/>
              <w:left w:val="single" w:color="auto" w:sz="4" w:space="0"/>
              <w:bottom w:val="single" w:color="000000" w:sz="4" w:space="0"/>
              <w:right w:val="single" w:color="000000" w:sz="4" w:space="0"/>
            </w:tcBorders>
            <w:vAlign w:val="center"/>
          </w:tcPr>
          <w:p w14:paraId="5547799E">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lang w:val="en-US" w:eastAsia="zh-CN"/>
              </w:rPr>
              <w:t>婴幼儿舞蹈创编</w:t>
            </w:r>
          </w:p>
        </w:tc>
        <w:tc>
          <w:tcPr>
            <w:tcW w:w="2020" w:type="pct"/>
            <w:tcBorders>
              <w:top w:val="single" w:color="000000" w:sz="4" w:space="0"/>
              <w:left w:val="single" w:color="000000" w:sz="4" w:space="0"/>
              <w:bottom w:val="single" w:color="000000" w:sz="4" w:space="0"/>
              <w:right w:val="single" w:color="000000" w:sz="4" w:space="0"/>
            </w:tcBorders>
            <w:vAlign w:val="center"/>
          </w:tcPr>
          <w:p w14:paraId="32119557">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b/>
                <w:bCs/>
                <w:color w:val="auto"/>
                <w:sz w:val="18"/>
                <w:szCs w:val="18"/>
                <w:highlight w:val="none"/>
                <w:lang w:eastAsia="zh-CN"/>
              </w:rPr>
            </w:pPr>
            <w:r>
              <w:rPr>
                <w:rFonts w:hint="eastAsia" w:ascii="宋体" w:hAnsi="宋体" w:eastAsia="宋体" w:cs="宋体"/>
                <w:color w:val="auto"/>
                <w:spacing w:val="5"/>
                <w:sz w:val="18"/>
                <w:szCs w:val="18"/>
                <w:highlight w:val="none"/>
              </w:rPr>
              <w:t>①</w:t>
            </w:r>
            <w:r>
              <w:rPr>
                <w:rFonts w:hint="eastAsia" w:ascii="宋体" w:hAnsi="宋体" w:eastAsia="宋体" w:cs="宋体"/>
                <w:i w:val="0"/>
                <w:iCs w:val="0"/>
                <w:caps w:val="0"/>
                <w:color w:val="auto"/>
                <w:spacing w:val="0"/>
                <w:sz w:val="18"/>
                <w:szCs w:val="18"/>
                <w:highlight w:val="none"/>
                <w:shd w:val="clear" w:fill="FFFFFF"/>
              </w:rPr>
              <w:t>能够根据0-3岁婴幼儿的身心发展特点，创编简单、趣味性强且符合其动作发展规律的舞蹈或律动活动，并在托育环境中有效实施。</w:t>
            </w:r>
            <w:r>
              <w:rPr>
                <w:rFonts w:hint="eastAsia" w:ascii="宋体" w:hAnsi="宋体" w:eastAsia="宋体" w:cs="宋体"/>
                <w:color w:val="auto"/>
                <w:spacing w:val="7"/>
                <w:sz w:val="18"/>
                <w:szCs w:val="18"/>
                <w:highlight w:val="none"/>
              </w:rPr>
              <w:t>②</w:t>
            </w:r>
            <w:r>
              <w:rPr>
                <w:rFonts w:hint="eastAsia" w:ascii="宋体" w:hAnsi="宋体" w:eastAsia="宋体" w:cs="宋体"/>
                <w:i w:val="0"/>
                <w:iCs w:val="0"/>
                <w:caps w:val="0"/>
                <w:color w:val="auto"/>
                <w:spacing w:val="0"/>
                <w:sz w:val="18"/>
                <w:szCs w:val="18"/>
                <w:highlight w:val="none"/>
                <w:shd w:val="clear" w:fill="FFFFFF"/>
              </w:rPr>
              <w:t>结合儿歌、节奏音乐等元素，设计适合婴幼儿的舞蹈游戏，促进其大肌肉运动、节奏感和社交互动能力的发展</w:t>
            </w:r>
          </w:p>
        </w:tc>
        <w:tc>
          <w:tcPr>
            <w:tcW w:w="1022" w:type="pct"/>
            <w:tcBorders>
              <w:top w:val="single" w:color="000000" w:sz="4" w:space="0"/>
              <w:left w:val="single" w:color="000000" w:sz="4" w:space="0"/>
              <w:bottom w:val="single" w:color="000000" w:sz="4" w:space="0"/>
              <w:right w:val="single" w:color="000000" w:sz="4" w:space="0"/>
            </w:tcBorders>
            <w:vAlign w:val="center"/>
          </w:tcPr>
          <w:p w14:paraId="679AF681">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i w:val="0"/>
                <w:iCs w:val="0"/>
                <w:caps w:val="0"/>
                <w:color w:val="auto"/>
                <w:spacing w:val="0"/>
                <w:sz w:val="18"/>
                <w:szCs w:val="18"/>
                <w:highlight w:val="none"/>
                <w:shd w:val="clear" w:fill="FFFFFF"/>
              </w:rPr>
            </w:pPr>
            <w:r>
              <w:rPr>
                <w:rFonts w:hint="eastAsia" w:ascii="宋体" w:hAnsi="宋体" w:eastAsia="宋体" w:cs="宋体"/>
                <w:color w:val="auto"/>
                <w:spacing w:val="5"/>
                <w:sz w:val="18"/>
                <w:szCs w:val="18"/>
                <w:highlight w:val="none"/>
              </w:rPr>
              <w:t>①</w:t>
            </w:r>
            <w:r>
              <w:rPr>
                <w:rFonts w:hint="eastAsia" w:ascii="宋体" w:hAnsi="宋体" w:eastAsia="宋体" w:cs="宋体"/>
                <w:i w:val="0"/>
                <w:iCs w:val="0"/>
                <w:caps w:val="0"/>
                <w:color w:val="auto"/>
                <w:spacing w:val="0"/>
                <w:sz w:val="18"/>
                <w:szCs w:val="18"/>
                <w:highlight w:val="none"/>
                <w:shd w:val="clear" w:fill="FFFFFF"/>
              </w:rPr>
              <w:t>婴幼儿舞蹈创编的基本原则（如动作简单、重复性强、贴近生活），以及如何结合音乐、儿歌设计适合不同月龄段的舞蹈活动。</w:t>
            </w:r>
            <w:r>
              <w:rPr>
                <w:rFonts w:hint="eastAsia" w:ascii="宋体" w:hAnsi="宋体" w:eastAsia="宋体" w:cs="宋体"/>
                <w:color w:val="auto"/>
                <w:spacing w:val="7"/>
                <w:sz w:val="18"/>
                <w:szCs w:val="18"/>
                <w:highlight w:val="none"/>
              </w:rPr>
              <w:t>②</w:t>
            </w:r>
            <w:r>
              <w:rPr>
                <w:rFonts w:hint="eastAsia" w:ascii="宋体" w:hAnsi="宋体" w:eastAsia="宋体" w:cs="宋体"/>
                <w:i w:val="0"/>
                <w:iCs w:val="0"/>
                <w:caps w:val="0"/>
                <w:color w:val="auto"/>
                <w:spacing w:val="0"/>
                <w:sz w:val="18"/>
                <w:szCs w:val="18"/>
                <w:highlight w:val="none"/>
                <w:shd w:val="clear" w:fill="FFFFFF"/>
              </w:rPr>
              <w:t>学生需掌握至少5种适合不同年龄阶段（如0-1岁、1-2岁、2-3岁）的婴幼儿舞蹈或律动创编方法，并能进行示范教学。</w:t>
            </w:r>
          </w:p>
          <w:p w14:paraId="680E2311">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i w:val="0"/>
                <w:iCs w:val="0"/>
                <w:caps w:val="0"/>
                <w:color w:val="auto"/>
                <w:spacing w:val="0"/>
                <w:sz w:val="18"/>
                <w:szCs w:val="18"/>
                <w:highlight w:val="none"/>
                <w:shd w:val="clear" w:fill="FFFFFF"/>
                <w:lang w:eastAsia="zh-CN"/>
              </w:rPr>
            </w:pPr>
          </w:p>
        </w:tc>
      </w:tr>
      <w:tr w14:paraId="77B97AA5">
        <w:tblPrEx>
          <w:tblCellMar>
            <w:top w:w="0" w:type="dxa"/>
            <w:left w:w="0" w:type="dxa"/>
            <w:bottom w:w="0" w:type="dxa"/>
            <w:right w:w="0" w:type="dxa"/>
          </w:tblCellMar>
        </w:tblPrEx>
        <w:trPr>
          <w:trHeight w:val="908" w:hRule="atLeast"/>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3"/>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宋体" w:hAnsi="宋体" w:eastAsia="宋体" w:cs="宋体"/>
                <w:color w:val="auto"/>
                <w:sz w:val="18"/>
                <w:szCs w:val="18"/>
                <w:highlight w:val="none"/>
                <w:lang w:eastAsia="zh-CN"/>
              </w:rPr>
            </w:pPr>
            <w:r>
              <w:rPr>
                <w:rFonts w:hint="default" w:ascii="宋体" w:hAnsi="宋体" w:eastAsia="宋体" w:cs="宋体"/>
                <w:color w:val="auto"/>
                <w:kern w:val="2"/>
                <w:sz w:val="18"/>
                <w:szCs w:val="18"/>
                <w:lang w:val="en-US" w:eastAsia="zh-CN" w:bidi="ar-SA"/>
              </w:rPr>
              <w:t>3.</w:t>
            </w:r>
          </w:p>
        </w:tc>
        <w:tc>
          <w:tcPr>
            <w:tcW w:w="1659" w:type="pct"/>
            <w:tcBorders>
              <w:top w:val="single" w:color="000000" w:sz="4" w:space="0"/>
              <w:left w:val="single" w:color="auto" w:sz="4" w:space="0"/>
              <w:bottom w:val="single" w:color="000000" w:sz="4" w:space="0"/>
              <w:right w:val="single" w:color="000000" w:sz="4" w:space="0"/>
            </w:tcBorders>
            <w:vAlign w:val="center"/>
          </w:tcPr>
          <w:p w14:paraId="14311C1D">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lang w:val="en-US" w:eastAsia="zh-CN"/>
              </w:rPr>
              <w:t>托育机构玩教具制作与环境创设</w:t>
            </w:r>
          </w:p>
        </w:tc>
        <w:tc>
          <w:tcPr>
            <w:tcW w:w="2020" w:type="pct"/>
            <w:tcBorders>
              <w:top w:val="single" w:color="000000" w:sz="4" w:space="0"/>
              <w:left w:val="single" w:color="000000" w:sz="4" w:space="0"/>
              <w:bottom w:val="single" w:color="000000" w:sz="4" w:space="0"/>
              <w:right w:val="single" w:color="000000" w:sz="4" w:space="0"/>
            </w:tcBorders>
            <w:vAlign w:val="center"/>
          </w:tcPr>
          <w:p w14:paraId="3B105323">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i w:val="0"/>
                <w:iCs w:val="0"/>
                <w:caps w:val="0"/>
                <w:color w:val="auto"/>
                <w:spacing w:val="0"/>
                <w:sz w:val="18"/>
                <w:szCs w:val="18"/>
                <w:highlight w:val="none"/>
                <w:shd w:val="clear" w:fill="FFFFFF"/>
              </w:rPr>
            </w:pPr>
            <w:r>
              <w:rPr>
                <w:rFonts w:hint="eastAsia" w:ascii="宋体" w:hAnsi="宋体" w:eastAsia="宋体" w:cs="宋体"/>
                <w:color w:val="auto"/>
                <w:spacing w:val="5"/>
                <w:sz w:val="18"/>
                <w:szCs w:val="18"/>
                <w:highlight w:val="none"/>
              </w:rPr>
              <w:t>①</w:t>
            </w:r>
            <w:r>
              <w:rPr>
                <w:rFonts w:hint="eastAsia" w:ascii="宋体" w:hAnsi="宋体" w:eastAsia="宋体" w:cs="宋体"/>
                <w:i w:val="0"/>
                <w:iCs w:val="0"/>
                <w:caps w:val="0"/>
                <w:color w:val="auto"/>
                <w:spacing w:val="0"/>
                <w:sz w:val="18"/>
                <w:szCs w:val="18"/>
                <w:highlight w:val="none"/>
                <w:shd w:val="clear" w:fill="FFFFFF"/>
              </w:rPr>
              <w:t>能够根据0-3岁婴幼儿的认知、动作及感官发展需求，利用安全环保材料，设计并制作适宜的玩教具，促进其探索与学习能力的发展。</w:t>
            </w:r>
          </w:p>
          <w:p w14:paraId="2DB5E314">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i w:val="0"/>
                <w:iCs w:val="0"/>
                <w:caps w:val="0"/>
                <w:color w:val="auto"/>
                <w:spacing w:val="0"/>
                <w:sz w:val="18"/>
                <w:szCs w:val="18"/>
                <w:highlight w:val="none"/>
                <w:shd w:val="clear" w:fill="FFFFFF"/>
                <w:lang w:eastAsia="zh-CN"/>
              </w:rPr>
            </w:pPr>
            <w:r>
              <w:rPr>
                <w:rFonts w:hint="eastAsia" w:ascii="宋体" w:hAnsi="宋体" w:eastAsia="宋体" w:cs="宋体"/>
                <w:color w:val="auto"/>
                <w:spacing w:val="7"/>
                <w:sz w:val="18"/>
                <w:szCs w:val="18"/>
                <w:highlight w:val="none"/>
              </w:rPr>
              <w:t>②</w:t>
            </w:r>
            <w:r>
              <w:rPr>
                <w:rFonts w:hint="eastAsia" w:ascii="宋体" w:hAnsi="宋体" w:eastAsia="宋体" w:cs="宋体"/>
                <w:i w:val="0"/>
                <w:iCs w:val="0"/>
                <w:caps w:val="0"/>
                <w:color w:val="auto"/>
                <w:spacing w:val="0"/>
                <w:sz w:val="18"/>
                <w:szCs w:val="18"/>
                <w:highlight w:val="none"/>
                <w:shd w:val="clear" w:fill="FFFFFF"/>
              </w:rPr>
              <w:t>掌握婴幼儿活动空间的安全标准与教育性原则，合理规划区域布局（如阅读角、感统区、角色扮演区等），营造符合婴幼儿发展需求的互动式环境。</w:t>
            </w:r>
          </w:p>
        </w:tc>
        <w:tc>
          <w:tcPr>
            <w:tcW w:w="1022" w:type="pct"/>
            <w:tcBorders>
              <w:top w:val="single" w:color="000000" w:sz="4" w:space="0"/>
              <w:left w:val="single" w:color="000000" w:sz="4" w:space="0"/>
              <w:bottom w:val="single" w:color="000000" w:sz="4" w:space="0"/>
              <w:right w:val="single" w:color="000000" w:sz="4" w:space="0"/>
            </w:tcBorders>
            <w:vAlign w:val="center"/>
          </w:tcPr>
          <w:p w14:paraId="7C522DF1">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color w:val="auto"/>
                <w:sz w:val="18"/>
                <w:szCs w:val="18"/>
                <w:highlight w:val="none"/>
                <w:lang w:eastAsia="zh-CN"/>
              </w:rPr>
            </w:pPr>
            <w:r>
              <w:rPr>
                <w:rFonts w:hint="eastAsia" w:ascii="宋体" w:hAnsi="宋体" w:eastAsia="宋体" w:cs="宋体"/>
                <w:i w:val="0"/>
                <w:iCs w:val="0"/>
                <w:caps w:val="0"/>
                <w:color w:val="auto"/>
                <w:spacing w:val="0"/>
                <w:sz w:val="18"/>
                <w:szCs w:val="18"/>
                <w:highlight w:val="none"/>
                <w:shd w:val="clear" w:fill="FFFFFF"/>
              </w:rPr>
              <w:t>学习不同月龄段婴幼儿玩教具的设计要点（如抓握玩具、拼插玩具、感官探索玩具等），掌握纸艺、布艺、自然材料等多种手工制作技法。</w:t>
            </w:r>
          </w:p>
        </w:tc>
      </w:tr>
      <w:tr w14:paraId="5E256063">
        <w:tblPrEx>
          <w:tblCellMar>
            <w:top w:w="0" w:type="dxa"/>
            <w:left w:w="0" w:type="dxa"/>
            <w:bottom w:w="0" w:type="dxa"/>
            <w:right w:w="0" w:type="dxa"/>
          </w:tblCellMar>
        </w:tblPrEx>
        <w:trPr>
          <w:trHeight w:val="908" w:hRule="atLeast"/>
        </w:trPr>
        <w:tc>
          <w:tcPr>
            <w:tcW w:w="298" w:type="pct"/>
            <w:tcBorders>
              <w:top w:val="single" w:color="auto" w:sz="4" w:space="0"/>
              <w:left w:val="single" w:color="auto" w:sz="4" w:space="0"/>
              <w:bottom w:val="single" w:color="auto" w:sz="4" w:space="0"/>
              <w:right w:val="single" w:color="auto" w:sz="4" w:space="0"/>
            </w:tcBorders>
            <w:vAlign w:val="center"/>
          </w:tcPr>
          <w:p w14:paraId="21A31523">
            <w:pPr>
              <w:pStyle w:val="33"/>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宋体" w:hAnsi="宋体" w:eastAsia="宋体" w:cs="宋体"/>
                <w:color w:val="auto"/>
                <w:sz w:val="18"/>
                <w:szCs w:val="18"/>
                <w:highlight w:val="none"/>
                <w:lang w:eastAsia="en-US"/>
              </w:rPr>
            </w:pPr>
            <w:r>
              <w:rPr>
                <w:rFonts w:hint="default" w:ascii="宋体" w:hAnsi="宋体" w:eastAsia="宋体" w:cs="宋体"/>
                <w:color w:val="auto"/>
                <w:kern w:val="2"/>
                <w:sz w:val="18"/>
                <w:szCs w:val="18"/>
                <w:lang w:val="en-US" w:eastAsia="en-US" w:bidi="ar-SA"/>
              </w:rPr>
              <w:t>4.</w:t>
            </w:r>
          </w:p>
        </w:tc>
        <w:tc>
          <w:tcPr>
            <w:tcW w:w="1659" w:type="pct"/>
            <w:tcBorders>
              <w:top w:val="single" w:color="000000" w:sz="4" w:space="0"/>
              <w:left w:val="single" w:color="auto" w:sz="4" w:space="0"/>
              <w:bottom w:val="single" w:color="000000" w:sz="4" w:space="0"/>
              <w:right w:val="single" w:color="000000" w:sz="4" w:space="0"/>
            </w:tcBorders>
            <w:vAlign w:val="center"/>
          </w:tcPr>
          <w:p w14:paraId="086EA9AC">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lang w:val="en-US" w:eastAsia="zh-CN"/>
              </w:rPr>
              <w:t>婴幼儿行为观察与评价</w:t>
            </w:r>
          </w:p>
        </w:tc>
        <w:tc>
          <w:tcPr>
            <w:tcW w:w="2020" w:type="pct"/>
            <w:tcBorders>
              <w:top w:val="single" w:color="000000" w:sz="4" w:space="0"/>
              <w:left w:val="single" w:color="000000" w:sz="4" w:space="0"/>
              <w:bottom w:val="single" w:color="000000" w:sz="4" w:space="0"/>
              <w:right w:val="single" w:color="000000" w:sz="4" w:space="0"/>
            </w:tcBorders>
            <w:vAlign w:val="center"/>
          </w:tcPr>
          <w:p w14:paraId="38C71338">
            <w:pPr>
              <w:pStyle w:val="163"/>
              <w:keepNext w:val="0"/>
              <w:keepLines w:val="0"/>
              <w:pageBreakBefore w:val="0"/>
              <w:widowControl w:val="0"/>
              <w:kinsoku/>
              <w:wordWrap/>
              <w:overflowPunct/>
              <w:topLinePunct w:val="0"/>
              <w:autoSpaceDE/>
              <w:autoSpaceDN/>
              <w:bidi w:val="0"/>
              <w:adjustRightInd/>
              <w:spacing w:line="240" w:lineRule="exact"/>
              <w:ind w:right="0"/>
              <w:jc w:val="both"/>
              <w:textAlignment w:val="auto"/>
              <w:rPr>
                <w:rFonts w:hint="eastAsia" w:ascii="宋体" w:hAnsi="宋体" w:eastAsia="宋体" w:cs="宋体"/>
                <w:color w:val="auto"/>
                <w:sz w:val="18"/>
                <w:szCs w:val="18"/>
                <w:highlight w:val="none"/>
              </w:rPr>
            </w:pPr>
            <w:r>
              <w:rPr>
                <w:rFonts w:hint="eastAsia" w:ascii="宋体" w:hAnsi="宋体" w:eastAsia="宋体" w:cs="宋体"/>
                <w:color w:val="auto"/>
                <w:spacing w:val="5"/>
                <w:sz w:val="18"/>
                <w:szCs w:val="18"/>
                <w:highlight w:val="none"/>
              </w:rPr>
              <w:t>①做好婴幼儿一</w:t>
            </w:r>
            <w:r>
              <w:rPr>
                <w:rFonts w:hint="eastAsia" w:ascii="宋体" w:hAnsi="宋体" w:eastAsia="宋体" w:cs="宋体"/>
                <w:color w:val="auto"/>
                <w:spacing w:val="-33"/>
                <w:sz w:val="18"/>
                <w:szCs w:val="18"/>
                <w:highlight w:val="none"/>
              </w:rPr>
              <w:t xml:space="preserve"> </w:t>
            </w:r>
            <w:r>
              <w:rPr>
                <w:rFonts w:hint="eastAsia" w:ascii="宋体" w:hAnsi="宋体" w:eastAsia="宋体" w:cs="宋体"/>
                <w:color w:val="auto"/>
                <w:spacing w:val="5"/>
                <w:sz w:val="18"/>
                <w:szCs w:val="18"/>
                <w:highlight w:val="none"/>
              </w:rPr>
              <w:t>日生活中</w:t>
            </w:r>
            <w:r>
              <w:rPr>
                <w:rFonts w:hint="eastAsia" w:ascii="宋体" w:hAnsi="宋体" w:eastAsia="宋体" w:cs="宋体"/>
                <w:color w:val="auto"/>
                <w:sz w:val="18"/>
                <w:szCs w:val="18"/>
                <w:highlight w:val="none"/>
              </w:rPr>
              <w:t>的行为观察和记录。</w:t>
            </w:r>
          </w:p>
          <w:p w14:paraId="5C9CCE8C">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rPr>
              <w:t>② 依观察和记录结果，反思与改进保育工作</w:t>
            </w:r>
          </w:p>
        </w:tc>
        <w:tc>
          <w:tcPr>
            <w:tcW w:w="1022" w:type="pct"/>
            <w:tcBorders>
              <w:top w:val="single" w:color="000000" w:sz="4" w:space="0"/>
              <w:left w:val="single" w:color="000000" w:sz="4" w:space="0"/>
              <w:bottom w:val="single" w:color="000000" w:sz="4" w:space="0"/>
              <w:right w:val="single" w:color="000000" w:sz="4" w:space="0"/>
            </w:tcBorders>
            <w:vAlign w:val="center"/>
          </w:tcPr>
          <w:p w14:paraId="3535C791">
            <w:pPr>
              <w:pStyle w:val="163"/>
              <w:keepNext w:val="0"/>
              <w:keepLines w:val="0"/>
              <w:pageBreakBefore w:val="0"/>
              <w:widowControl w:val="0"/>
              <w:kinsoku/>
              <w:wordWrap/>
              <w:overflowPunct/>
              <w:topLinePunct w:val="0"/>
              <w:autoSpaceDE/>
              <w:autoSpaceDN/>
              <w:bidi w:val="0"/>
              <w:adjustRightInd/>
              <w:spacing w:line="240" w:lineRule="exact"/>
              <w:ind w:left="0" w:right="0" w:firstLine="180"/>
              <w:jc w:val="both"/>
              <w:textAlignment w:val="auto"/>
              <w:rPr>
                <w:rFonts w:hint="eastAsia" w:ascii="宋体" w:hAnsi="宋体" w:eastAsia="宋体" w:cs="宋体"/>
                <w:color w:val="auto"/>
                <w:sz w:val="18"/>
                <w:szCs w:val="18"/>
                <w:highlight w:val="none"/>
              </w:rPr>
            </w:pPr>
            <w:r>
              <w:rPr>
                <w:rFonts w:hint="eastAsia" w:ascii="宋体" w:hAnsi="宋体" w:eastAsia="宋体" w:cs="宋体"/>
                <w:color w:val="auto"/>
                <w:spacing w:val="7"/>
                <w:sz w:val="18"/>
                <w:szCs w:val="18"/>
                <w:highlight w:val="none"/>
              </w:rPr>
              <w:t>① 掌握婴幼儿观察记录相关知识，能够合</w:t>
            </w:r>
            <w:r>
              <w:rPr>
                <w:rFonts w:hint="eastAsia" w:ascii="宋体" w:hAnsi="宋体" w:eastAsia="宋体" w:cs="宋体"/>
                <w:color w:val="auto"/>
                <w:spacing w:val="12"/>
                <w:sz w:val="18"/>
                <w:szCs w:val="18"/>
                <w:highlight w:val="none"/>
              </w:rPr>
              <w:t xml:space="preserve"> </w:t>
            </w:r>
            <w:r>
              <w:rPr>
                <w:rFonts w:hint="eastAsia" w:ascii="宋体" w:hAnsi="宋体" w:eastAsia="宋体" w:cs="宋体"/>
                <w:color w:val="auto"/>
                <w:spacing w:val="2"/>
                <w:sz w:val="18"/>
                <w:szCs w:val="18"/>
                <w:highlight w:val="none"/>
              </w:rPr>
              <w:t>理使用描述法、判断法和取样法等对婴幼儿行</w:t>
            </w:r>
            <w:r>
              <w:rPr>
                <w:rFonts w:hint="eastAsia" w:ascii="宋体" w:hAnsi="宋体" w:eastAsia="宋体" w:cs="宋体"/>
                <w:color w:val="auto"/>
                <w:spacing w:val="14"/>
                <w:sz w:val="18"/>
                <w:szCs w:val="18"/>
                <w:highlight w:val="none"/>
              </w:rPr>
              <w:t xml:space="preserve"> </w:t>
            </w:r>
            <w:r>
              <w:rPr>
                <w:rFonts w:hint="eastAsia" w:ascii="宋体" w:hAnsi="宋体" w:eastAsia="宋体" w:cs="宋体"/>
                <w:color w:val="auto"/>
                <w:spacing w:val="2"/>
                <w:sz w:val="18"/>
                <w:szCs w:val="18"/>
                <w:highlight w:val="none"/>
              </w:rPr>
              <w:t>为进行观察和记录。</w:t>
            </w:r>
          </w:p>
          <w:p w14:paraId="4F693A05">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rPr>
              <w:t>② 掌握婴幼儿观察记录的分析和运用等知</w:t>
            </w:r>
            <w:r>
              <w:rPr>
                <w:rFonts w:hint="eastAsia" w:ascii="宋体" w:hAnsi="宋体" w:eastAsia="宋体" w:cs="宋体"/>
                <w:color w:val="auto"/>
                <w:spacing w:val="12"/>
                <w:sz w:val="18"/>
                <w:szCs w:val="18"/>
                <w:highlight w:val="none"/>
              </w:rPr>
              <w:t xml:space="preserve"> </w:t>
            </w:r>
            <w:r>
              <w:rPr>
                <w:rFonts w:hint="eastAsia" w:ascii="宋体" w:hAnsi="宋体" w:eastAsia="宋体" w:cs="宋体"/>
                <w:color w:val="auto"/>
                <w:spacing w:val="2"/>
                <w:sz w:val="18"/>
                <w:szCs w:val="18"/>
                <w:highlight w:val="none"/>
              </w:rPr>
              <w:t>识，能够正确使用观察记录的结果，理解婴幼</w:t>
            </w:r>
            <w:r>
              <w:rPr>
                <w:rFonts w:hint="eastAsia" w:ascii="宋体" w:hAnsi="宋体" w:eastAsia="宋体" w:cs="宋体"/>
                <w:color w:val="auto"/>
                <w:spacing w:val="15"/>
                <w:sz w:val="18"/>
                <w:szCs w:val="18"/>
                <w:highlight w:val="none"/>
              </w:rPr>
              <w:t xml:space="preserve"> </w:t>
            </w:r>
            <w:r>
              <w:rPr>
                <w:rFonts w:hint="eastAsia" w:ascii="宋体" w:hAnsi="宋体" w:eastAsia="宋体" w:cs="宋体"/>
                <w:color w:val="auto"/>
                <w:spacing w:val="3"/>
                <w:sz w:val="18"/>
                <w:szCs w:val="18"/>
                <w:highlight w:val="none"/>
              </w:rPr>
              <w:t>儿需求，不断改善和提升保育工作</w:t>
            </w:r>
          </w:p>
        </w:tc>
      </w:tr>
      <w:tr w14:paraId="2FACF997">
        <w:tblPrEx>
          <w:tblCellMar>
            <w:top w:w="0" w:type="dxa"/>
            <w:left w:w="0" w:type="dxa"/>
            <w:bottom w:w="0" w:type="dxa"/>
            <w:right w:w="0" w:type="dxa"/>
          </w:tblCellMar>
        </w:tblPrEx>
        <w:trPr>
          <w:trHeight w:val="908" w:hRule="atLeast"/>
        </w:trPr>
        <w:tc>
          <w:tcPr>
            <w:tcW w:w="298" w:type="pct"/>
            <w:tcBorders>
              <w:top w:val="single" w:color="auto" w:sz="4" w:space="0"/>
              <w:left w:val="single" w:color="auto" w:sz="4" w:space="0"/>
              <w:bottom w:val="single" w:color="auto" w:sz="4" w:space="0"/>
              <w:right w:val="single" w:color="auto" w:sz="4" w:space="0"/>
            </w:tcBorders>
            <w:vAlign w:val="center"/>
          </w:tcPr>
          <w:p w14:paraId="5AEF9366">
            <w:pPr>
              <w:pStyle w:val="33"/>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宋体" w:hAnsi="宋体" w:eastAsia="宋体" w:cs="宋体"/>
                <w:color w:val="auto"/>
                <w:sz w:val="18"/>
                <w:szCs w:val="18"/>
                <w:highlight w:val="none"/>
                <w:lang w:eastAsia="en-US"/>
              </w:rPr>
            </w:pPr>
            <w:r>
              <w:rPr>
                <w:rFonts w:hint="default" w:ascii="宋体" w:hAnsi="宋体" w:eastAsia="宋体" w:cs="宋体"/>
                <w:color w:val="auto"/>
                <w:kern w:val="2"/>
                <w:sz w:val="18"/>
                <w:szCs w:val="18"/>
                <w:lang w:val="en-US" w:eastAsia="en-US" w:bidi="ar-SA"/>
              </w:rPr>
              <w:t>5.</w:t>
            </w:r>
          </w:p>
        </w:tc>
        <w:tc>
          <w:tcPr>
            <w:tcW w:w="1659" w:type="pct"/>
            <w:tcBorders>
              <w:top w:val="single" w:color="000000" w:sz="4" w:space="0"/>
              <w:left w:val="single" w:color="auto" w:sz="4" w:space="0"/>
              <w:bottom w:val="single" w:color="000000" w:sz="4" w:space="0"/>
              <w:right w:val="single" w:color="000000" w:sz="4" w:space="0"/>
            </w:tcBorders>
            <w:vAlign w:val="center"/>
          </w:tcPr>
          <w:p w14:paraId="33F69D4D">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lang w:val="en-US" w:eastAsia="zh-CN"/>
              </w:rPr>
              <w:t>婴幼儿游戏活动实施</w:t>
            </w:r>
          </w:p>
        </w:tc>
        <w:tc>
          <w:tcPr>
            <w:tcW w:w="2020" w:type="pct"/>
            <w:tcBorders>
              <w:top w:val="single" w:color="000000" w:sz="4" w:space="0"/>
              <w:left w:val="single" w:color="000000" w:sz="4" w:space="0"/>
              <w:bottom w:val="single" w:color="000000" w:sz="4" w:space="0"/>
              <w:right w:val="single" w:color="000000" w:sz="4" w:space="0"/>
            </w:tcBorders>
            <w:vAlign w:val="center"/>
          </w:tcPr>
          <w:p w14:paraId="31D52BC5">
            <w:pPr>
              <w:pStyle w:val="163"/>
              <w:keepNext w:val="0"/>
              <w:keepLines w:val="0"/>
              <w:pageBreakBefore w:val="0"/>
              <w:widowControl w:val="0"/>
              <w:kinsoku/>
              <w:wordWrap/>
              <w:overflowPunct/>
              <w:topLinePunct w:val="0"/>
              <w:autoSpaceDE/>
              <w:autoSpaceDN/>
              <w:bidi w:val="0"/>
              <w:adjustRightInd/>
              <w:spacing w:line="240" w:lineRule="exact"/>
              <w:ind w:right="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pacing w:val="14"/>
                <w:sz w:val="18"/>
                <w:szCs w:val="18"/>
                <w:highlight w:val="none"/>
              </w:rPr>
              <w:t>①为婴幼儿创设支持性环</w:t>
            </w:r>
            <w:r>
              <w:rPr>
                <w:rFonts w:hint="eastAsia" w:ascii="宋体" w:hAnsi="宋体" w:eastAsia="宋体" w:cs="宋体"/>
                <w:color w:val="auto"/>
                <w:spacing w:val="-8"/>
                <w:sz w:val="18"/>
                <w:szCs w:val="18"/>
                <w:highlight w:val="none"/>
              </w:rPr>
              <w:t>境。</w:t>
            </w:r>
          </w:p>
          <w:p w14:paraId="4EFF412A">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rPr>
              <w:t>②实施适宜的、有意义的游</w:t>
            </w:r>
            <w:r>
              <w:rPr>
                <w:rFonts w:hint="eastAsia" w:ascii="宋体" w:hAnsi="宋体" w:eastAsia="宋体" w:cs="宋体"/>
                <w:color w:val="auto"/>
                <w:sz w:val="18"/>
                <w:szCs w:val="18"/>
                <w:highlight w:val="none"/>
              </w:rPr>
              <w:t>戏活动</w:t>
            </w:r>
          </w:p>
        </w:tc>
        <w:tc>
          <w:tcPr>
            <w:tcW w:w="1022" w:type="pct"/>
            <w:tcBorders>
              <w:top w:val="single" w:color="000000" w:sz="4" w:space="0"/>
              <w:left w:val="single" w:color="000000" w:sz="4" w:space="0"/>
              <w:bottom w:val="single" w:color="000000" w:sz="4" w:space="0"/>
              <w:right w:val="single" w:color="000000" w:sz="4" w:space="0"/>
            </w:tcBorders>
            <w:vAlign w:val="center"/>
          </w:tcPr>
          <w:p w14:paraId="3C33A375">
            <w:pPr>
              <w:pStyle w:val="163"/>
              <w:keepNext w:val="0"/>
              <w:keepLines w:val="0"/>
              <w:pageBreakBefore w:val="0"/>
              <w:widowControl w:val="0"/>
              <w:kinsoku/>
              <w:wordWrap/>
              <w:overflowPunct/>
              <w:topLinePunct w:val="0"/>
              <w:autoSpaceDE/>
              <w:autoSpaceDN/>
              <w:bidi w:val="0"/>
              <w:adjustRightInd/>
              <w:spacing w:line="240" w:lineRule="exact"/>
              <w:ind w:left="0" w:right="0" w:firstLine="182"/>
              <w:jc w:val="both"/>
              <w:textAlignment w:val="auto"/>
              <w:rPr>
                <w:rFonts w:hint="eastAsia" w:ascii="宋体" w:hAnsi="宋体" w:eastAsia="宋体" w:cs="宋体"/>
                <w:color w:val="auto"/>
                <w:sz w:val="18"/>
                <w:szCs w:val="18"/>
                <w:highlight w:val="none"/>
              </w:rPr>
            </w:pPr>
            <w:r>
              <w:rPr>
                <w:rFonts w:hint="eastAsia" w:ascii="宋体" w:hAnsi="宋体" w:eastAsia="宋体" w:cs="宋体"/>
                <w:color w:val="auto"/>
                <w:spacing w:val="7"/>
                <w:sz w:val="18"/>
                <w:szCs w:val="18"/>
                <w:highlight w:val="none"/>
              </w:rPr>
              <w:t>① 掌握婴幼儿支持性环境创设相关知识，</w:t>
            </w:r>
            <w:r>
              <w:rPr>
                <w:rFonts w:hint="eastAsia" w:ascii="宋体" w:hAnsi="宋体" w:eastAsia="宋体" w:cs="宋体"/>
                <w:color w:val="auto"/>
                <w:spacing w:val="2"/>
                <w:sz w:val="18"/>
                <w:szCs w:val="18"/>
                <w:highlight w:val="none"/>
              </w:rPr>
              <w:t xml:space="preserve"> </w:t>
            </w:r>
            <w:r>
              <w:rPr>
                <w:rFonts w:hint="eastAsia" w:ascii="宋体" w:hAnsi="宋体" w:eastAsia="宋体" w:cs="宋体"/>
                <w:color w:val="auto"/>
                <w:spacing w:val="12"/>
                <w:sz w:val="18"/>
                <w:szCs w:val="18"/>
                <w:highlight w:val="none"/>
              </w:rPr>
              <w:t>能够为婴幼儿创设适宜其早期学习的物理环</w:t>
            </w:r>
            <w:r>
              <w:rPr>
                <w:rFonts w:hint="eastAsia" w:ascii="宋体" w:hAnsi="宋体" w:eastAsia="宋体" w:cs="宋体"/>
                <w:color w:val="auto"/>
                <w:spacing w:val="7"/>
                <w:sz w:val="18"/>
                <w:szCs w:val="18"/>
                <w:highlight w:val="none"/>
              </w:rPr>
              <w:t xml:space="preserve"> </w:t>
            </w:r>
            <w:r>
              <w:rPr>
                <w:rFonts w:hint="eastAsia" w:ascii="宋体" w:hAnsi="宋体" w:eastAsia="宋体" w:cs="宋体"/>
                <w:color w:val="auto"/>
                <w:spacing w:val="1"/>
                <w:sz w:val="18"/>
                <w:szCs w:val="18"/>
                <w:highlight w:val="none"/>
              </w:rPr>
              <w:t>境和社会环境。</w:t>
            </w:r>
          </w:p>
          <w:p w14:paraId="5895871E">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rPr>
              <w:t>② 掌握婴幼儿学习与发展、游戏活动类型</w:t>
            </w:r>
            <w:r>
              <w:rPr>
                <w:rFonts w:hint="eastAsia" w:ascii="宋体" w:hAnsi="宋体" w:eastAsia="宋体" w:cs="宋体"/>
                <w:color w:val="auto"/>
                <w:spacing w:val="12"/>
                <w:sz w:val="18"/>
                <w:szCs w:val="18"/>
                <w:highlight w:val="none"/>
              </w:rPr>
              <w:t xml:space="preserve"> </w:t>
            </w:r>
            <w:r>
              <w:rPr>
                <w:rFonts w:hint="eastAsia" w:ascii="宋体" w:hAnsi="宋体" w:eastAsia="宋体" w:cs="宋体"/>
                <w:color w:val="auto"/>
                <w:spacing w:val="2"/>
                <w:sz w:val="18"/>
                <w:szCs w:val="18"/>
                <w:highlight w:val="none"/>
              </w:rPr>
              <w:t>与实施等知识，能够引导婴幼儿参与韵律操、  唱儿歌、听故事、对话、涂鸦、手工等游戏活</w:t>
            </w:r>
            <w:r>
              <w:rPr>
                <w:rFonts w:hint="eastAsia" w:ascii="宋体" w:hAnsi="宋体" w:eastAsia="宋体" w:cs="宋体"/>
                <w:color w:val="auto"/>
                <w:spacing w:val="16"/>
                <w:sz w:val="18"/>
                <w:szCs w:val="18"/>
                <w:highlight w:val="none"/>
              </w:rPr>
              <w:t xml:space="preserve"> </w:t>
            </w:r>
            <w:r>
              <w:rPr>
                <w:rFonts w:hint="eastAsia" w:ascii="宋体" w:hAnsi="宋体" w:eastAsia="宋体" w:cs="宋体"/>
                <w:color w:val="auto"/>
                <w:spacing w:val="-3"/>
                <w:sz w:val="18"/>
                <w:szCs w:val="18"/>
                <w:highlight w:val="none"/>
              </w:rPr>
              <w:t>动，以促进婴幼儿在身体、动作、语言、认知、</w:t>
            </w:r>
            <w:r>
              <w:rPr>
                <w:rFonts w:hint="eastAsia" w:ascii="宋体" w:hAnsi="宋体" w:eastAsia="宋体" w:cs="宋体"/>
                <w:color w:val="auto"/>
                <w:spacing w:val="6"/>
                <w:sz w:val="18"/>
                <w:szCs w:val="18"/>
                <w:highlight w:val="none"/>
              </w:rPr>
              <w:t xml:space="preserve"> </w:t>
            </w:r>
            <w:r>
              <w:rPr>
                <w:rFonts w:hint="eastAsia" w:ascii="宋体" w:hAnsi="宋体" w:eastAsia="宋体" w:cs="宋体"/>
                <w:color w:val="auto"/>
                <w:spacing w:val="3"/>
                <w:sz w:val="18"/>
                <w:szCs w:val="18"/>
                <w:highlight w:val="none"/>
              </w:rPr>
              <w:t>情感与社会性等方面的全面发展</w:t>
            </w:r>
          </w:p>
        </w:tc>
      </w:tr>
      <w:tr w14:paraId="720A3314">
        <w:tblPrEx>
          <w:tblCellMar>
            <w:top w:w="0" w:type="dxa"/>
            <w:left w:w="0" w:type="dxa"/>
            <w:bottom w:w="0" w:type="dxa"/>
            <w:right w:w="0" w:type="dxa"/>
          </w:tblCellMar>
        </w:tblPrEx>
        <w:trPr>
          <w:trHeight w:val="908" w:hRule="atLeast"/>
        </w:trPr>
        <w:tc>
          <w:tcPr>
            <w:tcW w:w="298" w:type="pct"/>
            <w:tcBorders>
              <w:top w:val="single" w:color="auto" w:sz="4" w:space="0"/>
              <w:left w:val="single" w:color="auto" w:sz="4" w:space="0"/>
              <w:bottom w:val="single" w:color="auto" w:sz="4" w:space="0"/>
              <w:right w:val="single" w:color="auto" w:sz="4" w:space="0"/>
            </w:tcBorders>
            <w:vAlign w:val="center"/>
          </w:tcPr>
          <w:p w14:paraId="19EFEA3A">
            <w:pPr>
              <w:pStyle w:val="33"/>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宋体" w:hAnsi="宋体" w:eastAsia="宋体" w:cs="宋体"/>
                <w:color w:val="auto"/>
                <w:sz w:val="18"/>
                <w:szCs w:val="18"/>
                <w:highlight w:val="none"/>
                <w:lang w:eastAsia="en-US"/>
              </w:rPr>
            </w:pPr>
            <w:r>
              <w:rPr>
                <w:rFonts w:hint="default" w:ascii="宋体" w:hAnsi="宋体" w:eastAsia="宋体" w:cs="宋体"/>
                <w:color w:val="auto"/>
                <w:kern w:val="2"/>
                <w:sz w:val="18"/>
                <w:szCs w:val="18"/>
                <w:lang w:val="en-US" w:eastAsia="en-US" w:bidi="ar-SA"/>
              </w:rPr>
              <w:t>6.</w:t>
            </w:r>
          </w:p>
        </w:tc>
        <w:tc>
          <w:tcPr>
            <w:tcW w:w="1659" w:type="pct"/>
            <w:tcBorders>
              <w:top w:val="single" w:color="000000" w:sz="4" w:space="0"/>
              <w:left w:val="single" w:color="auto" w:sz="4" w:space="0"/>
              <w:bottom w:val="single" w:color="000000" w:sz="4" w:space="0"/>
              <w:right w:val="single" w:color="000000" w:sz="4" w:space="0"/>
            </w:tcBorders>
            <w:vAlign w:val="center"/>
          </w:tcPr>
          <w:p w14:paraId="23F97AC7">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lang w:val="en-US" w:eastAsia="zh-CN"/>
              </w:rPr>
              <w:t>婴幼儿回应性照料</w:t>
            </w:r>
          </w:p>
        </w:tc>
        <w:tc>
          <w:tcPr>
            <w:tcW w:w="2020" w:type="pct"/>
            <w:tcBorders>
              <w:top w:val="single" w:color="000000" w:sz="4" w:space="0"/>
              <w:left w:val="single" w:color="000000" w:sz="4" w:space="0"/>
              <w:bottom w:val="single" w:color="000000" w:sz="4" w:space="0"/>
              <w:right w:val="single" w:color="000000" w:sz="4" w:space="0"/>
            </w:tcBorders>
            <w:vAlign w:val="center"/>
          </w:tcPr>
          <w:p w14:paraId="2C87CD34">
            <w:pPr>
              <w:pStyle w:val="163"/>
              <w:keepNext w:val="0"/>
              <w:keepLines w:val="0"/>
              <w:pageBreakBefore w:val="0"/>
              <w:widowControl w:val="0"/>
              <w:kinsoku/>
              <w:wordWrap/>
              <w:overflowPunct/>
              <w:topLinePunct w:val="0"/>
              <w:autoSpaceDE/>
              <w:autoSpaceDN/>
              <w:bidi w:val="0"/>
              <w:adjustRightInd/>
              <w:spacing w:line="240" w:lineRule="exact"/>
              <w:ind w:right="0"/>
              <w:jc w:val="both"/>
              <w:textAlignment w:val="auto"/>
              <w:rPr>
                <w:rFonts w:hint="eastAsia" w:ascii="宋体" w:hAnsi="宋体" w:eastAsia="宋体" w:cs="宋体"/>
                <w:color w:val="auto"/>
                <w:spacing w:val="-2"/>
                <w:sz w:val="18"/>
                <w:szCs w:val="18"/>
                <w:highlight w:val="none"/>
              </w:rPr>
            </w:pPr>
            <w:r>
              <w:rPr>
                <w:rFonts w:hint="eastAsia" w:ascii="宋体" w:hAnsi="宋体" w:eastAsia="宋体" w:cs="宋体"/>
                <w:color w:val="auto"/>
                <w:spacing w:val="9"/>
                <w:sz w:val="18"/>
                <w:szCs w:val="18"/>
                <w:highlight w:val="none"/>
              </w:rPr>
              <w:t>①为婴幼儿创设一</w:t>
            </w:r>
            <w:r>
              <w:rPr>
                <w:rFonts w:hint="eastAsia" w:ascii="宋体" w:hAnsi="宋体" w:eastAsia="宋体" w:cs="宋体"/>
                <w:color w:val="auto"/>
                <w:spacing w:val="-32"/>
                <w:sz w:val="18"/>
                <w:szCs w:val="18"/>
                <w:highlight w:val="none"/>
              </w:rPr>
              <w:t xml:space="preserve"> </w:t>
            </w:r>
            <w:r>
              <w:rPr>
                <w:rFonts w:hint="eastAsia" w:ascii="宋体" w:hAnsi="宋体" w:eastAsia="宋体" w:cs="宋体"/>
                <w:color w:val="auto"/>
                <w:spacing w:val="9"/>
                <w:sz w:val="18"/>
                <w:szCs w:val="18"/>
                <w:highlight w:val="none"/>
              </w:rPr>
              <w:t>日生活</w:t>
            </w:r>
            <w:r>
              <w:rPr>
                <w:rFonts w:hint="eastAsia" w:ascii="宋体" w:hAnsi="宋体" w:eastAsia="宋体" w:cs="宋体"/>
                <w:color w:val="auto"/>
                <w:spacing w:val="-2"/>
                <w:sz w:val="18"/>
                <w:szCs w:val="18"/>
                <w:highlight w:val="none"/>
              </w:rPr>
              <w:t>环境。</w:t>
            </w:r>
          </w:p>
          <w:p w14:paraId="7CC9E2FD">
            <w:pPr>
              <w:pStyle w:val="163"/>
              <w:keepNext w:val="0"/>
              <w:keepLines w:val="0"/>
              <w:pageBreakBefore w:val="0"/>
              <w:widowControl w:val="0"/>
              <w:kinsoku/>
              <w:wordWrap/>
              <w:overflowPunct/>
              <w:topLinePunct w:val="0"/>
              <w:autoSpaceDE/>
              <w:autoSpaceDN/>
              <w:bidi w:val="0"/>
              <w:adjustRightInd/>
              <w:spacing w:line="240" w:lineRule="exact"/>
              <w:ind w:right="0"/>
              <w:jc w:val="both"/>
              <w:textAlignment w:val="auto"/>
              <w:rPr>
                <w:rFonts w:hint="eastAsia" w:ascii="宋体" w:hAnsi="宋体" w:eastAsia="宋体" w:cs="宋体"/>
                <w:color w:val="auto"/>
                <w:sz w:val="18"/>
                <w:szCs w:val="18"/>
                <w:highlight w:val="none"/>
              </w:rPr>
            </w:pPr>
            <w:r>
              <w:rPr>
                <w:rFonts w:hint="eastAsia" w:ascii="宋体" w:hAnsi="宋体" w:eastAsia="宋体" w:cs="宋体"/>
                <w:color w:val="auto"/>
                <w:spacing w:val="9"/>
                <w:sz w:val="18"/>
                <w:szCs w:val="18"/>
                <w:highlight w:val="none"/>
              </w:rPr>
              <w:t>②对婴幼儿</w:t>
            </w:r>
            <w:r>
              <w:rPr>
                <w:rFonts w:hint="eastAsia" w:ascii="宋体" w:hAnsi="宋体" w:eastAsia="宋体" w:cs="宋体"/>
                <w:color w:val="auto"/>
                <w:spacing w:val="-31"/>
                <w:sz w:val="18"/>
                <w:szCs w:val="18"/>
                <w:highlight w:val="none"/>
              </w:rPr>
              <w:t xml:space="preserve"> </w:t>
            </w:r>
            <w:r>
              <w:rPr>
                <w:rFonts w:hint="eastAsia" w:ascii="宋体" w:hAnsi="宋体" w:eastAsia="宋体" w:cs="宋体"/>
                <w:color w:val="auto"/>
                <w:spacing w:val="9"/>
                <w:sz w:val="18"/>
                <w:szCs w:val="18"/>
                <w:highlight w:val="none"/>
              </w:rPr>
              <w:t>日常生活提供</w:t>
            </w:r>
            <w:r>
              <w:rPr>
                <w:rFonts w:hint="eastAsia" w:ascii="宋体" w:hAnsi="宋体" w:eastAsia="宋体" w:cs="宋体"/>
                <w:color w:val="auto"/>
                <w:spacing w:val="-4"/>
                <w:sz w:val="18"/>
                <w:szCs w:val="18"/>
                <w:highlight w:val="none"/>
              </w:rPr>
              <w:t>回应性照料。</w:t>
            </w:r>
          </w:p>
          <w:p w14:paraId="21C6BFD4">
            <w:pPr>
              <w:pStyle w:val="133"/>
              <w:keepNext w:val="0"/>
              <w:keepLines w:val="0"/>
              <w:pageBreakBefore w:val="0"/>
              <w:widowControl w:val="0"/>
              <w:kinsoku/>
              <w:wordWrap/>
              <w:overflowPunct/>
              <w:topLinePunct w:val="0"/>
              <w:autoSpaceDE/>
              <w:autoSpaceDN/>
              <w:bidi w:val="0"/>
              <w:adjustRightInd/>
              <w:spacing w:line="240" w:lineRule="exact"/>
              <w:ind w:right="0"/>
              <w:jc w:val="both"/>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11"/>
                <w:sz w:val="18"/>
                <w:szCs w:val="18"/>
                <w:highlight w:val="none"/>
              </w:rPr>
              <w:t>③培养婴幼儿良好</w:t>
            </w:r>
            <w:r>
              <w:rPr>
                <w:rFonts w:hint="eastAsia" w:ascii="宋体" w:hAnsi="宋体" w:eastAsia="宋体" w:cs="宋体"/>
                <w:color w:val="auto"/>
                <w:spacing w:val="-47"/>
                <w:sz w:val="18"/>
                <w:szCs w:val="18"/>
                <w:highlight w:val="none"/>
              </w:rPr>
              <w:t xml:space="preserve"> </w:t>
            </w:r>
            <w:r>
              <w:rPr>
                <w:rFonts w:hint="eastAsia" w:ascii="宋体" w:hAnsi="宋体" w:eastAsia="宋体" w:cs="宋体"/>
                <w:color w:val="auto"/>
                <w:spacing w:val="11"/>
                <w:sz w:val="18"/>
                <w:szCs w:val="18"/>
                <w:highlight w:val="none"/>
              </w:rPr>
              <w:t>的生活</w:t>
            </w:r>
            <w:r>
              <w:rPr>
                <w:rFonts w:hint="eastAsia" w:ascii="宋体" w:hAnsi="宋体" w:eastAsia="宋体" w:cs="宋体"/>
                <w:color w:val="auto"/>
                <w:sz w:val="18"/>
                <w:szCs w:val="18"/>
                <w:highlight w:val="none"/>
              </w:rPr>
              <w:t>卫生习惯</w:t>
            </w:r>
          </w:p>
        </w:tc>
        <w:tc>
          <w:tcPr>
            <w:tcW w:w="1022" w:type="pct"/>
            <w:tcBorders>
              <w:top w:val="single" w:color="000000" w:sz="4" w:space="0"/>
              <w:left w:val="single" w:color="000000" w:sz="4" w:space="0"/>
              <w:bottom w:val="single" w:color="000000" w:sz="4" w:space="0"/>
              <w:right w:val="single" w:color="000000" w:sz="4" w:space="0"/>
            </w:tcBorders>
            <w:vAlign w:val="center"/>
          </w:tcPr>
          <w:p w14:paraId="01DFB8C0">
            <w:pPr>
              <w:pStyle w:val="163"/>
              <w:keepNext w:val="0"/>
              <w:keepLines w:val="0"/>
              <w:pageBreakBefore w:val="0"/>
              <w:widowControl w:val="0"/>
              <w:kinsoku/>
              <w:wordWrap/>
              <w:overflowPunct/>
              <w:topLinePunct w:val="0"/>
              <w:autoSpaceDE/>
              <w:autoSpaceDN/>
              <w:bidi w:val="0"/>
              <w:adjustRightInd/>
              <w:spacing w:line="240" w:lineRule="exact"/>
              <w:ind w:left="0" w:right="0" w:firstLine="181"/>
              <w:jc w:val="both"/>
              <w:textAlignment w:val="auto"/>
              <w:rPr>
                <w:rFonts w:hint="eastAsia" w:ascii="宋体" w:hAnsi="宋体" w:eastAsia="宋体" w:cs="宋体"/>
                <w:color w:val="auto"/>
                <w:sz w:val="18"/>
                <w:szCs w:val="18"/>
                <w:highlight w:val="none"/>
              </w:rPr>
            </w:pPr>
            <w:r>
              <w:rPr>
                <w:rFonts w:hint="eastAsia" w:ascii="宋体" w:hAnsi="宋体" w:eastAsia="宋体" w:cs="宋体"/>
                <w:color w:val="auto"/>
                <w:spacing w:val="1"/>
                <w:sz w:val="18"/>
                <w:szCs w:val="18"/>
                <w:highlight w:val="none"/>
              </w:rPr>
              <w:t>① 掌握托育机构生活环境布置、卫生标准、</w:t>
            </w:r>
            <w:r>
              <w:rPr>
                <w:rFonts w:hint="eastAsia" w:ascii="宋体" w:hAnsi="宋体" w:eastAsia="宋体" w:cs="宋体"/>
                <w:color w:val="auto"/>
                <w:spacing w:val="10"/>
                <w:sz w:val="18"/>
                <w:szCs w:val="18"/>
                <w:highlight w:val="none"/>
              </w:rPr>
              <w:t xml:space="preserve"> </w:t>
            </w:r>
            <w:r>
              <w:rPr>
                <w:rFonts w:hint="eastAsia" w:ascii="宋体" w:hAnsi="宋体" w:eastAsia="宋体" w:cs="宋体"/>
                <w:color w:val="auto"/>
                <w:spacing w:val="2"/>
                <w:sz w:val="18"/>
                <w:szCs w:val="18"/>
                <w:highlight w:val="none"/>
              </w:rPr>
              <w:t>清洁消毒等知识，能够为婴幼儿提供整洁、舒</w:t>
            </w:r>
            <w:r>
              <w:rPr>
                <w:rFonts w:hint="eastAsia" w:ascii="宋体" w:hAnsi="宋体" w:eastAsia="宋体" w:cs="宋体"/>
                <w:color w:val="auto"/>
                <w:spacing w:val="16"/>
                <w:sz w:val="18"/>
                <w:szCs w:val="18"/>
                <w:highlight w:val="none"/>
              </w:rPr>
              <w:t xml:space="preserve"> </w:t>
            </w:r>
            <w:r>
              <w:rPr>
                <w:rFonts w:hint="eastAsia" w:ascii="宋体" w:hAnsi="宋体" w:eastAsia="宋体" w:cs="宋体"/>
                <w:color w:val="auto"/>
                <w:spacing w:val="2"/>
                <w:sz w:val="18"/>
                <w:szCs w:val="18"/>
                <w:highlight w:val="none"/>
              </w:rPr>
              <w:t>适的一日生活环境。</w:t>
            </w:r>
            <w:r>
              <w:rPr>
                <w:rFonts w:hint="eastAsia" w:ascii="宋体" w:hAnsi="宋体" w:eastAsia="宋体" w:cs="宋体"/>
                <w:color w:val="auto"/>
                <w:spacing w:val="7"/>
                <w:sz w:val="18"/>
                <w:szCs w:val="18"/>
                <w:highlight w:val="none"/>
              </w:rPr>
              <w:t>② 掌握回应性照料相关知识，能够照料婴</w:t>
            </w:r>
            <w:r>
              <w:rPr>
                <w:rFonts w:hint="eastAsia" w:ascii="宋体" w:hAnsi="宋体" w:eastAsia="宋体" w:cs="宋体"/>
                <w:color w:val="auto"/>
                <w:spacing w:val="12"/>
                <w:sz w:val="18"/>
                <w:szCs w:val="18"/>
                <w:highlight w:val="none"/>
              </w:rPr>
              <w:t xml:space="preserve"> </w:t>
            </w:r>
            <w:r>
              <w:rPr>
                <w:rFonts w:hint="eastAsia" w:ascii="宋体" w:hAnsi="宋体" w:eastAsia="宋体" w:cs="宋体"/>
                <w:color w:val="auto"/>
                <w:spacing w:val="2"/>
                <w:sz w:val="18"/>
                <w:szCs w:val="18"/>
                <w:highlight w:val="none"/>
              </w:rPr>
              <w:t>幼儿的饮食、睡眠、盥洗、如厕、出行等生活</w:t>
            </w:r>
            <w:r>
              <w:rPr>
                <w:rFonts w:hint="eastAsia" w:ascii="宋体" w:hAnsi="宋体" w:eastAsia="宋体" w:cs="宋体"/>
                <w:color w:val="auto"/>
                <w:spacing w:val="16"/>
                <w:sz w:val="18"/>
                <w:szCs w:val="18"/>
                <w:highlight w:val="none"/>
              </w:rPr>
              <w:t xml:space="preserve"> </w:t>
            </w:r>
            <w:r>
              <w:rPr>
                <w:rFonts w:hint="eastAsia" w:ascii="宋体" w:hAnsi="宋体" w:eastAsia="宋体" w:cs="宋体"/>
                <w:color w:val="auto"/>
                <w:spacing w:val="2"/>
                <w:sz w:val="18"/>
                <w:szCs w:val="18"/>
                <w:highlight w:val="none"/>
              </w:rPr>
              <w:t>活动，并在日常照料中与婴幼儿进行适宜的、</w:t>
            </w:r>
            <w:r>
              <w:rPr>
                <w:rFonts w:hint="eastAsia" w:ascii="宋体" w:hAnsi="宋体" w:eastAsia="宋体" w:cs="宋体"/>
                <w:color w:val="auto"/>
                <w:spacing w:val="4"/>
                <w:sz w:val="18"/>
                <w:szCs w:val="18"/>
                <w:highlight w:val="none"/>
              </w:rPr>
              <w:t xml:space="preserve"> </w:t>
            </w:r>
            <w:r>
              <w:rPr>
                <w:rFonts w:hint="eastAsia" w:ascii="宋体" w:hAnsi="宋体" w:eastAsia="宋体" w:cs="宋体"/>
                <w:color w:val="auto"/>
                <w:spacing w:val="1"/>
                <w:sz w:val="18"/>
                <w:szCs w:val="18"/>
                <w:highlight w:val="none"/>
              </w:rPr>
              <w:t>有意义的互动。</w:t>
            </w:r>
          </w:p>
          <w:p w14:paraId="744E8787">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rPr>
              <w:t>③ 熟悉婴幼儿习惯培养相关知识，能够引</w:t>
            </w:r>
            <w:r>
              <w:rPr>
                <w:rFonts w:hint="eastAsia" w:ascii="宋体" w:hAnsi="宋体" w:eastAsia="宋体" w:cs="宋体"/>
                <w:color w:val="auto"/>
                <w:spacing w:val="12"/>
                <w:sz w:val="18"/>
                <w:szCs w:val="18"/>
                <w:highlight w:val="none"/>
              </w:rPr>
              <w:t xml:space="preserve"> </w:t>
            </w:r>
            <w:r>
              <w:rPr>
                <w:rFonts w:hint="eastAsia" w:ascii="宋体" w:hAnsi="宋体" w:eastAsia="宋体" w:cs="宋体"/>
                <w:color w:val="auto"/>
                <w:spacing w:val="3"/>
                <w:sz w:val="18"/>
                <w:szCs w:val="18"/>
                <w:highlight w:val="none"/>
              </w:rPr>
              <w:t>导婴幼儿逐步形成良好的生活卫生习惯</w:t>
            </w:r>
          </w:p>
        </w:tc>
      </w:tr>
      <w:tr w14:paraId="4C5D102A">
        <w:tblPrEx>
          <w:tblCellMar>
            <w:top w:w="0" w:type="dxa"/>
            <w:left w:w="0" w:type="dxa"/>
            <w:bottom w:w="0" w:type="dxa"/>
            <w:right w:w="0" w:type="dxa"/>
          </w:tblCellMar>
        </w:tblPrEx>
        <w:trPr>
          <w:trHeight w:val="908" w:hRule="atLeast"/>
        </w:trPr>
        <w:tc>
          <w:tcPr>
            <w:tcW w:w="298" w:type="pct"/>
            <w:tcBorders>
              <w:top w:val="single" w:color="auto" w:sz="4" w:space="0"/>
              <w:left w:val="single" w:color="auto" w:sz="4" w:space="0"/>
              <w:bottom w:val="single" w:color="auto" w:sz="4" w:space="0"/>
              <w:right w:val="single" w:color="auto" w:sz="4" w:space="0"/>
            </w:tcBorders>
            <w:vAlign w:val="center"/>
          </w:tcPr>
          <w:p w14:paraId="0C5680A1">
            <w:pPr>
              <w:pStyle w:val="33"/>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宋体" w:hAnsi="宋体" w:eastAsia="宋体" w:cs="宋体"/>
                <w:color w:val="auto"/>
                <w:sz w:val="18"/>
                <w:szCs w:val="18"/>
                <w:highlight w:val="none"/>
                <w:lang w:eastAsia="en-US"/>
              </w:rPr>
            </w:pPr>
            <w:r>
              <w:rPr>
                <w:rFonts w:hint="default" w:ascii="宋体" w:hAnsi="宋体" w:eastAsia="宋体" w:cs="宋体"/>
                <w:color w:val="auto"/>
                <w:kern w:val="2"/>
                <w:sz w:val="18"/>
                <w:szCs w:val="18"/>
                <w:lang w:val="en-US" w:eastAsia="en-US" w:bidi="ar-SA"/>
              </w:rPr>
              <w:t>7.</w:t>
            </w:r>
          </w:p>
        </w:tc>
        <w:tc>
          <w:tcPr>
            <w:tcW w:w="1659" w:type="pct"/>
            <w:tcBorders>
              <w:top w:val="single" w:color="000000" w:sz="4" w:space="0"/>
              <w:left w:val="single" w:color="auto" w:sz="4" w:space="0"/>
              <w:bottom w:val="single" w:color="000000" w:sz="4" w:space="0"/>
              <w:right w:val="single" w:color="000000" w:sz="4" w:space="0"/>
            </w:tcBorders>
            <w:vAlign w:val="center"/>
          </w:tcPr>
          <w:p w14:paraId="6D91456D">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lang w:val="en-US" w:eastAsia="zh-CN"/>
              </w:rPr>
              <w:t>托育机构管理实务</w:t>
            </w:r>
          </w:p>
        </w:tc>
        <w:tc>
          <w:tcPr>
            <w:tcW w:w="2020" w:type="pct"/>
            <w:tcBorders>
              <w:top w:val="single" w:color="000000" w:sz="4" w:space="0"/>
              <w:left w:val="single" w:color="000000" w:sz="4" w:space="0"/>
              <w:bottom w:val="single" w:color="000000" w:sz="4" w:space="0"/>
              <w:right w:val="single" w:color="000000" w:sz="4" w:space="0"/>
            </w:tcBorders>
            <w:vAlign w:val="center"/>
          </w:tcPr>
          <w:p w14:paraId="18B78B40">
            <w:pPr>
              <w:pStyle w:val="163"/>
              <w:keepNext w:val="0"/>
              <w:keepLines w:val="0"/>
              <w:pageBreakBefore w:val="0"/>
              <w:widowControl w:val="0"/>
              <w:kinsoku/>
              <w:wordWrap/>
              <w:overflowPunct/>
              <w:topLinePunct w:val="0"/>
              <w:autoSpaceDE/>
              <w:autoSpaceDN/>
              <w:bidi w:val="0"/>
              <w:adjustRightInd/>
              <w:spacing w:line="240" w:lineRule="exact"/>
              <w:ind w:right="0"/>
              <w:jc w:val="both"/>
              <w:textAlignment w:val="auto"/>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① 根据机构需要，完成品牌</w:t>
            </w:r>
            <w:r>
              <w:rPr>
                <w:rFonts w:hint="eastAsia" w:ascii="宋体" w:hAnsi="宋体" w:eastAsia="宋体" w:cs="宋体"/>
                <w:color w:val="auto"/>
                <w:spacing w:val="9"/>
                <w:sz w:val="18"/>
                <w:szCs w:val="18"/>
                <w:highlight w:val="none"/>
              </w:rPr>
              <w:t>与文化建设、教研组织、员工</w:t>
            </w:r>
            <w:r>
              <w:rPr>
                <w:rFonts w:hint="eastAsia" w:ascii="宋体" w:hAnsi="宋体" w:eastAsia="宋体" w:cs="宋体"/>
                <w:color w:val="auto"/>
                <w:spacing w:val="3"/>
                <w:sz w:val="18"/>
                <w:szCs w:val="18"/>
                <w:highlight w:val="none"/>
              </w:rPr>
              <w:t xml:space="preserve"> </w:t>
            </w:r>
            <w:r>
              <w:rPr>
                <w:rFonts w:hint="eastAsia" w:ascii="宋体" w:hAnsi="宋体" w:eastAsia="宋体" w:cs="宋体"/>
                <w:color w:val="auto"/>
                <w:spacing w:val="1"/>
                <w:sz w:val="18"/>
                <w:szCs w:val="18"/>
                <w:highlight w:val="none"/>
              </w:rPr>
              <w:t>培训等专业管理工作。</w:t>
            </w:r>
          </w:p>
          <w:p w14:paraId="29F4AFD9">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2"/>
                <w:sz w:val="18"/>
                <w:szCs w:val="18"/>
                <w:highlight w:val="none"/>
              </w:rPr>
              <w:t>② 根据机构需要，完成制度</w:t>
            </w:r>
            <w:r>
              <w:rPr>
                <w:rFonts w:hint="eastAsia" w:ascii="宋体" w:hAnsi="宋体" w:eastAsia="宋体" w:cs="宋体"/>
                <w:color w:val="auto"/>
                <w:spacing w:val="9"/>
                <w:sz w:val="18"/>
                <w:szCs w:val="18"/>
                <w:highlight w:val="none"/>
              </w:rPr>
              <w:t>建设、市场营销、薪酬与绩效管理、财务管理、后勤管理等</w:t>
            </w:r>
            <w:r>
              <w:rPr>
                <w:rFonts w:hint="eastAsia" w:ascii="宋体" w:hAnsi="宋体" w:eastAsia="宋体" w:cs="宋体"/>
                <w:color w:val="auto"/>
                <w:spacing w:val="1"/>
                <w:sz w:val="18"/>
                <w:szCs w:val="18"/>
                <w:highlight w:val="none"/>
              </w:rPr>
              <w:t>行政管理工作</w:t>
            </w:r>
          </w:p>
        </w:tc>
        <w:tc>
          <w:tcPr>
            <w:tcW w:w="1022" w:type="pct"/>
            <w:tcBorders>
              <w:top w:val="single" w:color="000000" w:sz="4" w:space="0"/>
              <w:left w:val="single" w:color="000000" w:sz="4" w:space="0"/>
              <w:bottom w:val="single" w:color="000000" w:sz="4" w:space="0"/>
              <w:right w:val="single" w:color="000000" w:sz="4" w:space="0"/>
            </w:tcBorders>
            <w:vAlign w:val="center"/>
          </w:tcPr>
          <w:p w14:paraId="115AB3CF">
            <w:pPr>
              <w:pStyle w:val="163"/>
              <w:keepNext w:val="0"/>
              <w:keepLines w:val="0"/>
              <w:pageBreakBefore w:val="0"/>
              <w:widowControl w:val="0"/>
              <w:kinsoku/>
              <w:wordWrap/>
              <w:overflowPunct/>
              <w:topLinePunct w:val="0"/>
              <w:autoSpaceDE/>
              <w:autoSpaceDN/>
              <w:bidi w:val="0"/>
              <w:adjustRightInd/>
              <w:spacing w:line="240" w:lineRule="exact"/>
              <w:ind w:left="0" w:right="0" w:firstLine="183"/>
              <w:jc w:val="both"/>
              <w:textAlignment w:val="auto"/>
              <w:rPr>
                <w:rFonts w:hint="eastAsia" w:ascii="宋体" w:hAnsi="宋体" w:eastAsia="宋体" w:cs="宋体"/>
                <w:color w:val="auto"/>
                <w:sz w:val="18"/>
                <w:szCs w:val="18"/>
                <w:highlight w:val="none"/>
              </w:rPr>
            </w:pPr>
            <w:r>
              <w:rPr>
                <w:rFonts w:hint="eastAsia" w:ascii="宋体" w:hAnsi="宋体" w:eastAsia="宋体" w:cs="宋体"/>
                <w:color w:val="auto"/>
                <w:spacing w:val="7"/>
                <w:sz w:val="18"/>
                <w:szCs w:val="18"/>
                <w:highlight w:val="none"/>
              </w:rPr>
              <w:t>① 掌握文化建设、班级管理、保育人员专</w:t>
            </w:r>
            <w:r>
              <w:rPr>
                <w:rFonts w:hint="eastAsia" w:ascii="宋体" w:hAnsi="宋体" w:eastAsia="宋体" w:cs="宋体"/>
                <w:color w:val="auto"/>
                <w:spacing w:val="12"/>
                <w:sz w:val="18"/>
                <w:szCs w:val="18"/>
                <w:highlight w:val="none"/>
              </w:rPr>
              <w:t xml:space="preserve"> </w:t>
            </w:r>
            <w:r>
              <w:rPr>
                <w:rFonts w:hint="eastAsia" w:ascii="宋体" w:hAnsi="宋体" w:eastAsia="宋体" w:cs="宋体"/>
                <w:color w:val="auto"/>
                <w:spacing w:val="2"/>
                <w:sz w:val="18"/>
                <w:szCs w:val="18"/>
                <w:highlight w:val="none"/>
              </w:rPr>
              <w:t>业发展等知识，能够完成品牌与文化建设、教</w:t>
            </w:r>
            <w:r>
              <w:rPr>
                <w:rFonts w:hint="eastAsia" w:ascii="宋体" w:hAnsi="宋体" w:eastAsia="宋体" w:cs="宋体"/>
                <w:color w:val="auto"/>
                <w:spacing w:val="17"/>
                <w:sz w:val="18"/>
                <w:szCs w:val="18"/>
                <w:highlight w:val="none"/>
              </w:rPr>
              <w:t xml:space="preserve"> </w:t>
            </w:r>
            <w:r>
              <w:rPr>
                <w:rFonts w:hint="eastAsia" w:ascii="宋体" w:hAnsi="宋体" w:eastAsia="宋体" w:cs="宋体"/>
                <w:color w:val="auto"/>
                <w:spacing w:val="2"/>
                <w:sz w:val="18"/>
                <w:szCs w:val="18"/>
                <w:highlight w:val="none"/>
              </w:rPr>
              <w:t>研组织、员工培训等专业管理工作。</w:t>
            </w:r>
          </w:p>
          <w:p w14:paraId="7885B8F6">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rPr>
              <w:t>② 掌握托育服务行业相关政策法规、托育</w:t>
            </w:r>
            <w:r>
              <w:rPr>
                <w:rFonts w:hint="eastAsia" w:ascii="宋体" w:hAnsi="宋体" w:eastAsia="宋体" w:cs="宋体"/>
                <w:color w:val="auto"/>
                <w:spacing w:val="12"/>
                <w:sz w:val="18"/>
                <w:szCs w:val="18"/>
                <w:highlight w:val="none"/>
              </w:rPr>
              <w:t xml:space="preserve"> </w:t>
            </w:r>
            <w:r>
              <w:rPr>
                <w:rFonts w:hint="eastAsia" w:ascii="宋体" w:hAnsi="宋体" w:eastAsia="宋体" w:cs="宋体"/>
                <w:color w:val="auto"/>
                <w:spacing w:val="2"/>
                <w:sz w:val="18"/>
                <w:szCs w:val="18"/>
                <w:highlight w:val="none"/>
              </w:rPr>
              <w:t>机构岗位职责和要求、财务基础等知识，能够</w:t>
            </w:r>
            <w:r>
              <w:rPr>
                <w:rFonts w:hint="eastAsia" w:ascii="宋体" w:hAnsi="宋体" w:eastAsia="宋体" w:cs="宋体"/>
                <w:color w:val="auto"/>
                <w:spacing w:val="17"/>
                <w:sz w:val="18"/>
                <w:szCs w:val="18"/>
                <w:highlight w:val="none"/>
              </w:rPr>
              <w:t xml:space="preserve"> </w:t>
            </w:r>
            <w:r>
              <w:rPr>
                <w:rFonts w:hint="eastAsia" w:ascii="宋体" w:hAnsi="宋体" w:eastAsia="宋体" w:cs="宋体"/>
                <w:color w:val="auto"/>
                <w:spacing w:val="2"/>
                <w:sz w:val="18"/>
                <w:szCs w:val="18"/>
                <w:highlight w:val="none"/>
              </w:rPr>
              <w:t>运用数字化管理工具，完成制度建设、市场营</w:t>
            </w:r>
            <w:r>
              <w:rPr>
                <w:rFonts w:hint="eastAsia" w:ascii="宋体" w:hAnsi="宋体" w:eastAsia="宋体" w:cs="宋体"/>
                <w:color w:val="auto"/>
                <w:spacing w:val="17"/>
                <w:sz w:val="18"/>
                <w:szCs w:val="18"/>
                <w:highlight w:val="none"/>
              </w:rPr>
              <w:t xml:space="preserve"> </w:t>
            </w:r>
            <w:r>
              <w:rPr>
                <w:rFonts w:hint="eastAsia" w:ascii="宋体" w:hAnsi="宋体" w:eastAsia="宋体" w:cs="宋体"/>
                <w:color w:val="auto"/>
                <w:spacing w:val="2"/>
                <w:sz w:val="18"/>
                <w:szCs w:val="18"/>
                <w:highlight w:val="none"/>
              </w:rPr>
              <w:t>销、薪酬与绩效管理、财务管理、后勤管理等</w:t>
            </w:r>
            <w:r>
              <w:rPr>
                <w:rFonts w:hint="eastAsia" w:ascii="宋体" w:hAnsi="宋体" w:eastAsia="宋体" w:cs="宋体"/>
                <w:color w:val="auto"/>
                <w:spacing w:val="17"/>
                <w:sz w:val="18"/>
                <w:szCs w:val="18"/>
                <w:highlight w:val="none"/>
              </w:rPr>
              <w:t xml:space="preserve"> </w:t>
            </w:r>
            <w:r>
              <w:rPr>
                <w:rFonts w:hint="eastAsia" w:ascii="宋体" w:hAnsi="宋体" w:eastAsia="宋体" w:cs="宋体"/>
                <w:color w:val="auto"/>
                <w:spacing w:val="2"/>
                <w:sz w:val="18"/>
                <w:szCs w:val="18"/>
                <w:highlight w:val="none"/>
              </w:rPr>
              <w:t>行政管理工作</w:t>
            </w:r>
          </w:p>
        </w:tc>
      </w:tr>
      <w:tr w14:paraId="612818E4">
        <w:tblPrEx>
          <w:tblCellMar>
            <w:top w:w="0" w:type="dxa"/>
            <w:left w:w="0" w:type="dxa"/>
            <w:bottom w:w="0" w:type="dxa"/>
            <w:right w:w="0" w:type="dxa"/>
          </w:tblCellMar>
        </w:tblPrEx>
        <w:trPr>
          <w:trHeight w:val="908" w:hRule="atLeast"/>
        </w:trPr>
        <w:tc>
          <w:tcPr>
            <w:tcW w:w="298" w:type="pct"/>
            <w:tcBorders>
              <w:top w:val="single" w:color="auto" w:sz="4" w:space="0"/>
              <w:left w:val="single" w:color="auto" w:sz="4" w:space="0"/>
              <w:bottom w:val="single" w:color="auto" w:sz="4" w:space="0"/>
              <w:right w:val="single" w:color="auto" w:sz="4" w:space="0"/>
            </w:tcBorders>
            <w:vAlign w:val="center"/>
          </w:tcPr>
          <w:p w14:paraId="2941E6A3">
            <w:pPr>
              <w:pStyle w:val="33"/>
              <w:keepNext w:val="0"/>
              <w:keepLines w:val="0"/>
              <w:pageBreakBefore w:val="0"/>
              <w:widowControl w:val="0"/>
              <w:numPr>
                <w:numId w:val="0"/>
              </w:numPr>
              <w:kinsoku/>
              <w:wordWrap/>
              <w:overflowPunct/>
              <w:topLinePunct w:val="0"/>
              <w:autoSpaceDE/>
              <w:autoSpaceDN/>
              <w:bidi w:val="0"/>
              <w:adjustRightInd/>
              <w:snapToGrid/>
              <w:spacing w:line="240" w:lineRule="exact"/>
              <w:ind w:left="0" w:leftChars="0" w:right="0" w:rightChars="0" w:firstLine="0"/>
              <w:jc w:val="center"/>
              <w:textAlignment w:val="auto"/>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8.</w:t>
            </w:r>
          </w:p>
        </w:tc>
        <w:tc>
          <w:tcPr>
            <w:tcW w:w="1659" w:type="pct"/>
            <w:tcBorders>
              <w:top w:val="single" w:color="000000" w:sz="4" w:space="0"/>
              <w:left w:val="single" w:color="auto" w:sz="4" w:space="0"/>
              <w:bottom w:val="single" w:color="000000" w:sz="4" w:space="0"/>
              <w:right w:val="single" w:color="000000" w:sz="4" w:space="0"/>
            </w:tcBorders>
            <w:vAlign w:val="center"/>
          </w:tcPr>
          <w:p w14:paraId="6039CAB6">
            <w:pPr>
              <w:pStyle w:val="133"/>
              <w:keepNext w:val="0"/>
              <w:keepLines w:val="0"/>
              <w:pageBreakBefore w:val="0"/>
              <w:widowControl w:val="0"/>
              <w:kinsoku/>
              <w:wordWrap/>
              <w:overflowPunct/>
              <w:topLinePunct w:val="0"/>
              <w:autoSpaceDE/>
              <w:autoSpaceDN/>
              <w:bidi w:val="0"/>
              <w:adjustRightInd/>
              <w:spacing w:line="240" w:lineRule="exact"/>
              <w:ind w:left="0" w:right="0"/>
              <w:jc w:val="center"/>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pacing w:val="7"/>
                <w:sz w:val="18"/>
                <w:szCs w:val="18"/>
                <w:highlight w:val="none"/>
                <w:lang w:val="en-US" w:eastAsia="zh-CN"/>
              </w:rPr>
              <w:t>婴幼儿教学方法与实践</w:t>
            </w:r>
          </w:p>
        </w:tc>
        <w:tc>
          <w:tcPr>
            <w:tcW w:w="2020" w:type="pct"/>
            <w:tcBorders>
              <w:top w:val="single" w:color="000000" w:sz="4" w:space="0"/>
              <w:left w:val="single" w:color="000000" w:sz="4" w:space="0"/>
              <w:bottom w:val="single" w:color="000000" w:sz="4" w:space="0"/>
              <w:right w:val="single" w:color="000000" w:sz="4" w:space="0"/>
            </w:tcBorders>
            <w:vAlign w:val="center"/>
          </w:tcPr>
          <w:p w14:paraId="24229D9B">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i w:val="0"/>
                <w:iCs w:val="0"/>
                <w:caps w:val="0"/>
                <w:color w:val="auto"/>
                <w:spacing w:val="0"/>
                <w:sz w:val="18"/>
                <w:szCs w:val="18"/>
                <w:highlight w:val="none"/>
                <w:shd w:val="clear" w:fill="FFFFFF"/>
              </w:rPr>
            </w:pPr>
            <w:r>
              <w:rPr>
                <w:rFonts w:hint="eastAsia" w:ascii="宋体" w:hAnsi="宋体" w:eastAsia="宋体" w:cs="宋体"/>
                <w:color w:val="auto"/>
                <w:spacing w:val="2"/>
                <w:sz w:val="18"/>
                <w:szCs w:val="18"/>
                <w:highlight w:val="none"/>
              </w:rPr>
              <w:t>①</w:t>
            </w:r>
            <w:r>
              <w:rPr>
                <w:rFonts w:hint="eastAsia" w:ascii="宋体" w:hAnsi="宋体" w:eastAsia="宋体" w:cs="宋体"/>
                <w:i w:val="0"/>
                <w:iCs w:val="0"/>
                <w:caps w:val="0"/>
                <w:color w:val="auto"/>
                <w:spacing w:val="0"/>
                <w:sz w:val="18"/>
                <w:szCs w:val="18"/>
                <w:highlight w:val="none"/>
                <w:shd w:val="clear" w:fill="FFFFFF"/>
              </w:rPr>
              <w:t>能够根据0-3岁婴幼儿的认知、语言、动作及社会性发展特点，设计并组织实施适宜的游戏活动、集体教学及个别化指导方案。</w:t>
            </w:r>
          </w:p>
          <w:p w14:paraId="23335A05">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i w:val="0"/>
                <w:iCs w:val="0"/>
                <w:caps w:val="0"/>
                <w:color w:val="auto"/>
                <w:spacing w:val="0"/>
                <w:sz w:val="18"/>
                <w:szCs w:val="18"/>
                <w:highlight w:val="none"/>
                <w:shd w:val="clear" w:fill="FFFFFF"/>
                <w:lang w:eastAsia="zh-CN"/>
              </w:rPr>
            </w:pPr>
            <w:r>
              <w:rPr>
                <w:rFonts w:hint="eastAsia" w:ascii="宋体" w:hAnsi="宋体" w:eastAsia="宋体" w:cs="宋体"/>
                <w:color w:val="auto"/>
                <w:spacing w:val="2"/>
                <w:sz w:val="18"/>
                <w:szCs w:val="18"/>
                <w:highlight w:val="none"/>
              </w:rPr>
              <w:t>②</w:t>
            </w:r>
            <w:r>
              <w:rPr>
                <w:rFonts w:hint="eastAsia" w:ascii="宋体" w:hAnsi="宋体" w:eastAsia="宋体" w:cs="宋体"/>
                <w:i w:val="0"/>
                <w:iCs w:val="0"/>
                <w:caps w:val="0"/>
                <w:color w:val="auto"/>
                <w:spacing w:val="0"/>
                <w:sz w:val="18"/>
                <w:szCs w:val="18"/>
                <w:highlight w:val="none"/>
                <w:shd w:val="clear" w:fill="FFFFFF"/>
              </w:rPr>
              <w:t>掌握婴幼儿行为观察与记录方法，能通过评估分析其发展水平，并灵活调整教学策略以满足个体差异化需求。</w:t>
            </w:r>
          </w:p>
        </w:tc>
        <w:tc>
          <w:tcPr>
            <w:tcW w:w="1022" w:type="pct"/>
            <w:tcBorders>
              <w:top w:val="single" w:color="000000" w:sz="4" w:space="0"/>
              <w:left w:val="single" w:color="000000" w:sz="4" w:space="0"/>
              <w:bottom w:val="single" w:color="000000" w:sz="4" w:space="0"/>
              <w:right w:val="single" w:color="000000" w:sz="4" w:space="0"/>
            </w:tcBorders>
            <w:vAlign w:val="center"/>
          </w:tcPr>
          <w:p w14:paraId="5F0515F4">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i w:val="0"/>
                <w:iCs w:val="0"/>
                <w:caps w:val="0"/>
                <w:color w:val="auto"/>
                <w:spacing w:val="0"/>
                <w:sz w:val="18"/>
                <w:szCs w:val="18"/>
                <w:highlight w:val="none"/>
                <w:shd w:val="clear" w:fill="FFFFFF"/>
              </w:rPr>
            </w:pPr>
            <w:r>
              <w:rPr>
                <w:rFonts w:hint="eastAsia" w:ascii="宋体" w:hAnsi="宋体" w:eastAsia="宋体" w:cs="宋体"/>
                <w:color w:val="auto"/>
                <w:spacing w:val="2"/>
                <w:sz w:val="18"/>
                <w:szCs w:val="18"/>
                <w:highlight w:val="none"/>
              </w:rPr>
              <w:t>①</w:t>
            </w:r>
            <w:r>
              <w:rPr>
                <w:rFonts w:hint="eastAsia" w:ascii="宋体" w:hAnsi="宋体" w:eastAsia="宋体" w:cs="宋体"/>
                <w:i w:val="0"/>
                <w:iCs w:val="0"/>
                <w:caps w:val="0"/>
                <w:color w:val="auto"/>
                <w:spacing w:val="0"/>
                <w:sz w:val="18"/>
                <w:szCs w:val="18"/>
                <w:highlight w:val="none"/>
                <w:shd w:val="clear" w:fill="FFFFFF"/>
              </w:rPr>
              <w:t>学习婴幼儿早期教育的常用方法（如游戏教学法、情境教学法、蒙氏教育理念等），掌握活动设计的基本流程与实施技巧。</w:t>
            </w:r>
          </w:p>
          <w:p w14:paraId="4F1C41E9">
            <w:pPr>
              <w:pStyle w:val="133"/>
              <w:keepNext w:val="0"/>
              <w:keepLines w:val="0"/>
              <w:pageBreakBefore w:val="0"/>
              <w:widowControl w:val="0"/>
              <w:kinsoku/>
              <w:wordWrap/>
              <w:overflowPunct/>
              <w:topLinePunct w:val="0"/>
              <w:autoSpaceDE/>
              <w:autoSpaceDN/>
              <w:bidi w:val="0"/>
              <w:adjustRightInd/>
              <w:spacing w:line="240" w:lineRule="exact"/>
              <w:ind w:left="0" w:right="0"/>
              <w:jc w:val="both"/>
              <w:textAlignment w:val="auto"/>
              <w:rPr>
                <w:rFonts w:hint="eastAsia" w:ascii="宋体" w:hAnsi="宋体" w:eastAsia="宋体" w:cs="宋体"/>
                <w:i w:val="0"/>
                <w:iCs w:val="0"/>
                <w:caps w:val="0"/>
                <w:color w:val="auto"/>
                <w:spacing w:val="0"/>
                <w:sz w:val="18"/>
                <w:szCs w:val="18"/>
                <w:highlight w:val="none"/>
                <w:shd w:val="clear" w:fill="FFFFFF"/>
                <w:lang w:eastAsia="zh-CN"/>
              </w:rPr>
            </w:pPr>
            <w:r>
              <w:rPr>
                <w:rFonts w:hint="eastAsia" w:ascii="宋体" w:hAnsi="宋体" w:eastAsia="宋体" w:cs="宋体"/>
                <w:color w:val="auto"/>
                <w:spacing w:val="2"/>
                <w:sz w:val="18"/>
                <w:szCs w:val="18"/>
                <w:highlight w:val="none"/>
              </w:rPr>
              <w:t>②</w:t>
            </w:r>
            <w:r>
              <w:rPr>
                <w:rFonts w:hint="eastAsia" w:ascii="宋体" w:hAnsi="宋体" w:eastAsia="宋体" w:cs="宋体"/>
                <w:i w:val="0"/>
                <w:iCs w:val="0"/>
                <w:caps w:val="0"/>
                <w:color w:val="auto"/>
                <w:spacing w:val="0"/>
                <w:sz w:val="18"/>
                <w:szCs w:val="18"/>
                <w:highlight w:val="none"/>
                <w:shd w:val="clear" w:fill="FFFFFF"/>
              </w:rPr>
              <w:t>训练婴幼儿发展里程碑的观察记录（如语言表达、社交互动、大动作发展等），学习使用评估工具（如成长档案、检核表）分析教学效果。</w:t>
            </w:r>
          </w:p>
        </w:tc>
      </w:tr>
    </w:tbl>
    <w:p w14:paraId="4F33A77C">
      <w:pPr>
        <w:keepNext w:val="0"/>
        <w:keepLines w:val="0"/>
        <w:pageBreakBefore w:val="0"/>
        <w:widowControl w:val="0"/>
        <w:kinsoku/>
        <w:wordWrap/>
        <w:overflowPunct/>
        <w:topLinePunct w:val="0"/>
        <w:autoSpaceDE/>
        <w:autoSpaceDN/>
        <w:bidi w:val="0"/>
        <w:adjustRightInd/>
        <w:snapToGrid w:val="0"/>
        <w:spacing w:line="240" w:lineRule="exact"/>
        <w:ind w:left="0" w:right="0"/>
        <w:contextualSpacing/>
        <w:jc w:val="both"/>
        <w:textAlignment w:val="auto"/>
        <w:rPr>
          <w:rFonts w:hint="eastAsia" w:ascii="宋体" w:hAnsi="宋体" w:eastAsia="宋体" w:cs="宋体"/>
          <w:color w:val="auto"/>
          <w:sz w:val="18"/>
          <w:szCs w:val="18"/>
          <w:highlight w:val="none"/>
        </w:rPr>
      </w:pPr>
    </w:p>
    <w:p w14:paraId="52B6B510">
      <w:pPr>
        <w:snapToGrid w:val="0"/>
        <w:spacing w:line="360" w:lineRule="auto"/>
        <w:ind w:firstLine="480" w:firstLineChars="200"/>
        <w:contextualSpacing/>
        <w:rPr>
          <w:color w:val="auto"/>
          <w:sz w:val="24"/>
          <w:highlight w:val="none"/>
        </w:rPr>
      </w:pPr>
      <w:r>
        <w:rPr>
          <w:color w:val="auto"/>
          <w:sz w:val="24"/>
          <w:highlight w:val="none"/>
        </w:rPr>
        <w:t>（3）专业拓展课程</w:t>
      </w:r>
    </w:p>
    <w:p w14:paraId="51E6F326">
      <w:pPr>
        <w:pageBreakBefore w:val="0"/>
        <w:widowControl w:val="0"/>
        <w:kinsoku/>
        <w:wordWrap/>
        <w:overflowPunct/>
        <w:topLinePunct w:val="0"/>
        <w:autoSpaceDE/>
        <w:autoSpaceDN/>
        <w:bidi w:val="0"/>
        <w:adjustRightInd/>
        <w:snapToGrid w:val="0"/>
        <w:spacing w:line="360" w:lineRule="auto"/>
        <w:ind w:left="0" w:right="0" w:firstLine="480" w:firstLineChars="200"/>
        <w:contextualSpacing/>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主要包括：教师职业形象与人际交往、婴幼儿伤害预防与处理、婴幼儿常见病识别与预防、婴幼儿家园共育等领域部分。</w:t>
      </w:r>
    </w:p>
    <w:p w14:paraId="464D1422">
      <w:pPr>
        <w:pStyle w:val="4"/>
        <w:pageBreakBefore w:val="0"/>
        <w:widowControl w:val="0"/>
        <w:numPr>
          <w:ilvl w:val="0"/>
          <w:numId w:val="6"/>
        </w:numPr>
        <w:kinsoku/>
        <w:wordWrap/>
        <w:overflowPunct/>
        <w:topLinePunct w:val="0"/>
        <w:autoSpaceDE/>
        <w:autoSpaceDN/>
        <w:bidi w:val="0"/>
        <w:adjustRightInd/>
        <w:spacing w:before="0" w:after="0" w:line="360" w:lineRule="auto"/>
        <w:ind w:left="0" w:right="0" w:firstLine="480"/>
        <w:textAlignment w:val="auto"/>
        <w:rPr>
          <w:rFonts w:hint="eastAsia" w:ascii="宋体" w:hAnsi="宋体" w:eastAsia="宋体" w:cs="宋体"/>
          <w:b w:val="0"/>
          <w:bCs w:val="0"/>
          <w:color w:val="auto"/>
          <w:sz w:val="24"/>
          <w:szCs w:val="24"/>
          <w:highlight w:val="none"/>
        </w:rPr>
      </w:pPr>
      <w:bookmarkStart w:id="15" w:name="_Toc197702696"/>
      <w:r>
        <w:rPr>
          <w:rFonts w:hint="eastAsia" w:ascii="宋体" w:hAnsi="宋体" w:eastAsia="宋体" w:cs="宋体"/>
          <w:b w:val="0"/>
          <w:bCs w:val="0"/>
          <w:color w:val="auto"/>
          <w:sz w:val="24"/>
          <w:szCs w:val="24"/>
          <w:highlight w:val="none"/>
        </w:rPr>
        <w:t>实践性教学环节</w:t>
      </w:r>
      <w:bookmarkEnd w:id="15"/>
    </w:p>
    <w:p w14:paraId="160A36B8">
      <w:pPr>
        <w:pageBreakBefore w:val="0"/>
        <w:widowControl w:val="0"/>
        <w:numPr>
          <w:ilvl w:val="0"/>
          <w:numId w:val="7"/>
        </w:numPr>
        <w:kinsoku/>
        <w:wordWrap/>
        <w:overflowPunct/>
        <w:topLinePunct w:val="0"/>
        <w:autoSpaceDE/>
        <w:autoSpaceDN/>
        <w:bidi w:val="0"/>
        <w:adjustRightInd/>
        <w:snapToGrid w:val="0"/>
        <w:spacing w:line="360" w:lineRule="auto"/>
        <w:ind w:left="0" w:right="0"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实训</w:t>
      </w:r>
    </w:p>
    <w:p w14:paraId="51FA2AAD">
      <w:pPr>
        <w:pStyle w:val="7"/>
        <w:pageBreakBefore w:val="0"/>
        <w:widowControl w:val="0"/>
        <w:kinsoku/>
        <w:wordWrap/>
        <w:overflowPunct/>
        <w:topLinePunct w:val="0"/>
        <w:autoSpaceDE/>
        <w:autoSpaceDN/>
        <w:bidi w:val="0"/>
        <w:adjustRightInd/>
        <w:spacing w:after="0" w:line="360" w:lineRule="auto"/>
        <w:ind w:left="0" w:right="0" w:firstLine="427"/>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在校内外进行婴幼儿生活照料、婴幼儿游戏活</w:t>
      </w:r>
      <w:r>
        <w:rPr>
          <w:rFonts w:hint="eastAsia" w:ascii="宋体" w:hAnsi="宋体" w:eastAsia="宋体" w:cs="宋体"/>
          <w:color w:val="auto"/>
          <w:spacing w:val="6"/>
          <w:sz w:val="24"/>
          <w:szCs w:val="24"/>
          <w:highlight w:val="none"/>
        </w:rPr>
        <w:t>动实施、婴幼儿卫生保健、婴幼儿急救、</w:t>
      </w:r>
      <w:r>
        <w:rPr>
          <w:rFonts w:hint="eastAsia" w:ascii="宋体" w:hAnsi="宋体" w:eastAsia="宋体" w:cs="宋体"/>
          <w:color w:val="auto"/>
          <w:spacing w:val="5"/>
          <w:sz w:val="24"/>
          <w:szCs w:val="24"/>
          <w:highlight w:val="none"/>
        </w:rPr>
        <w:t>智慧托育服务与管理等实训，包括单项技能实训、综合能力实训、生产性实训等。</w:t>
      </w:r>
    </w:p>
    <w:p w14:paraId="20E1E692">
      <w:pPr>
        <w:pageBreakBefore w:val="0"/>
        <w:widowControl w:val="0"/>
        <w:kinsoku/>
        <w:wordWrap/>
        <w:overflowPunct/>
        <w:topLinePunct w:val="0"/>
        <w:autoSpaceDE/>
        <w:autoSpaceDN/>
        <w:bidi w:val="0"/>
        <w:adjustRightInd/>
        <w:snapToGrid w:val="0"/>
        <w:spacing w:line="360" w:lineRule="auto"/>
        <w:ind w:left="0" w:right="0"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（2）实习</w:t>
      </w:r>
    </w:p>
    <w:p w14:paraId="48A56CF3">
      <w:pPr>
        <w:pStyle w:val="7"/>
        <w:pageBreakBefore w:val="0"/>
        <w:widowControl w:val="0"/>
        <w:kinsoku/>
        <w:wordWrap/>
        <w:overflowPunct/>
        <w:topLinePunct w:val="0"/>
        <w:autoSpaceDE/>
        <w:autoSpaceDN/>
        <w:bidi w:val="0"/>
        <w:adjustRightInd/>
        <w:spacing w:after="0" w:line="360" w:lineRule="auto"/>
        <w:ind w:left="0" w:right="0" w:firstLine="433"/>
        <w:textAlignment w:val="auto"/>
        <w:rPr>
          <w:color w:val="auto"/>
          <w:sz w:val="24"/>
          <w:highlight w:val="none"/>
        </w:rPr>
      </w:pPr>
      <w:r>
        <w:rPr>
          <w:rFonts w:hint="eastAsia" w:ascii="宋体" w:hAnsi="宋体" w:eastAsia="宋体" w:cs="宋体"/>
          <w:color w:val="auto"/>
          <w:spacing w:val="7"/>
          <w:sz w:val="24"/>
          <w:szCs w:val="24"/>
          <w:highlight w:val="none"/>
        </w:rPr>
        <w:t>在居民服务业、卫生等行业的婴幼儿托育机构、妇幼保健机构、幼儿园（开设托班）等机构进行婴幼儿保育、卫生保健等实习，包括认识实习和岗位实习。学校应建立稳定、够用的实习基地，选派专门的实习指导教师和人员，组织开展专业对口实习，加强对学生实习的</w:t>
      </w:r>
      <w:r>
        <w:rPr>
          <w:rFonts w:hint="eastAsia" w:ascii="宋体" w:hAnsi="宋体" w:eastAsia="宋体" w:cs="宋体"/>
          <w:color w:val="auto"/>
          <w:spacing w:val="1"/>
          <w:sz w:val="24"/>
          <w:szCs w:val="24"/>
          <w:highlight w:val="none"/>
        </w:rPr>
        <w:t>指导、管理和考核。</w:t>
      </w:r>
    </w:p>
    <w:p w14:paraId="15572B96">
      <w:pPr>
        <w:pStyle w:val="4"/>
        <w:pageBreakBefore w:val="0"/>
        <w:widowControl w:val="0"/>
        <w:numPr>
          <w:ilvl w:val="0"/>
          <w:numId w:val="6"/>
        </w:numPr>
        <w:kinsoku/>
        <w:wordWrap/>
        <w:overflowPunct/>
        <w:topLinePunct w:val="0"/>
        <w:autoSpaceDE/>
        <w:autoSpaceDN/>
        <w:bidi w:val="0"/>
        <w:adjustRightInd/>
        <w:snapToGrid/>
        <w:spacing w:before="0" w:after="0" w:line="360" w:lineRule="auto"/>
        <w:ind w:left="0" w:right="0" w:firstLine="480"/>
        <w:textAlignment w:val="auto"/>
        <w:rPr>
          <w:rFonts w:hint="eastAsia"/>
          <w:b w:val="0"/>
          <w:bCs w:val="0"/>
          <w:color w:val="auto"/>
          <w:sz w:val="24"/>
          <w:szCs w:val="24"/>
          <w:highlight w:val="none"/>
        </w:rPr>
      </w:pPr>
      <w:bookmarkStart w:id="16" w:name="_Toc197702697"/>
      <w:r>
        <w:rPr>
          <w:b w:val="0"/>
          <w:bCs w:val="0"/>
          <w:color w:val="auto"/>
          <w:sz w:val="24"/>
          <w:szCs w:val="24"/>
          <w:highlight w:val="none"/>
        </w:rPr>
        <w:t>相关要求</w:t>
      </w:r>
      <w:bookmarkEnd w:id="16"/>
    </w:p>
    <w:p w14:paraId="34DA6709">
      <w:pPr>
        <w:pStyle w:val="7"/>
        <w:pageBreakBefore w:val="0"/>
        <w:widowControl w:val="0"/>
        <w:kinsoku/>
        <w:wordWrap/>
        <w:overflowPunct/>
        <w:topLinePunct w:val="0"/>
        <w:autoSpaceDE/>
        <w:autoSpaceDN/>
        <w:bidi w:val="0"/>
        <w:adjustRightInd/>
        <w:snapToGrid/>
        <w:spacing w:after="0" w:line="360" w:lineRule="auto"/>
        <w:ind w:left="0" w:right="0" w:firstLine="436"/>
        <w:textAlignment w:val="auto"/>
        <w:rPr>
          <w:color w:val="auto"/>
          <w:sz w:val="24"/>
          <w:szCs w:val="24"/>
          <w:highlight w:val="none"/>
        </w:rPr>
      </w:pPr>
      <w:r>
        <w:rPr>
          <w:color w:val="auto"/>
          <w:spacing w:val="7"/>
          <w:sz w:val="24"/>
          <w:szCs w:val="24"/>
          <w:highlight w:val="none"/>
        </w:rPr>
        <w:t>学校应充分发挥思政课程和各类课程的育人功能。发挥思政课程政治引领和价值引领作用，在思政课程中有机融入党史、新中国史、改革开放史、社会主义发展史等相关内容；结</w:t>
      </w:r>
      <w:r>
        <w:rPr>
          <w:color w:val="auto"/>
          <w:spacing w:val="10"/>
          <w:sz w:val="24"/>
          <w:szCs w:val="24"/>
          <w:highlight w:val="none"/>
        </w:rPr>
        <w:t xml:space="preserve"> </w:t>
      </w:r>
      <w:r>
        <w:rPr>
          <w:color w:val="auto"/>
          <w:spacing w:val="7"/>
          <w:sz w:val="24"/>
          <w:szCs w:val="24"/>
          <w:highlight w:val="none"/>
        </w:rPr>
        <w:t>合实际落实课程思政，推进全员、全过程、全方位育人，实现思想政治教育与技术技能培养</w:t>
      </w:r>
      <w:r>
        <w:rPr>
          <w:color w:val="auto"/>
          <w:spacing w:val="2"/>
          <w:sz w:val="24"/>
          <w:szCs w:val="24"/>
          <w:highlight w:val="none"/>
        </w:rPr>
        <w:t>的有机统一。应开设安全教育（含典型案例事故分析）、社会责任、绿色环保、新一代信息技术、数字经济、现代管理、创新创业教育等方面的拓展课程或专题讲座（活动</w:t>
      </w:r>
      <w:r>
        <w:rPr>
          <w:color w:val="auto"/>
          <w:spacing w:val="1"/>
          <w:sz w:val="24"/>
          <w:szCs w:val="24"/>
          <w:highlight w:val="none"/>
        </w:rPr>
        <w:t>），</w:t>
      </w:r>
      <w:r>
        <w:rPr>
          <w:color w:val="auto"/>
          <w:spacing w:val="2"/>
          <w:sz w:val="24"/>
          <w:szCs w:val="24"/>
          <w:highlight w:val="none"/>
        </w:rPr>
        <w:t>并将有关内</w:t>
      </w:r>
      <w:r>
        <w:rPr>
          <w:color w:val="auto"/>
          <w:spacing w:val="7"/>
          <w:sz w:val="24"/>
          <w:szCs w:val="24"/>
          <w:highlight w:val="none"/>
        </w:rPr>
        <w:t>容融入课程教学中；自主开设其他特色课程；组织开展德育活动、志愿服务活动和其他实践</w:t>
      </w:r>
      <w:r>
        <w:rPr>
          <w:color w:val="auto"/>
          <w:spacing w:val="-7"/>
          <w:sz w:val="24"/>
          <w:szCs w:val="24"/>
          <w:highlight w:val="none"/>
        </w:rPr>
        <w:t>活动。</w:t>
      </w:r>
    </w:p>
    <w:p w14:paraId="06FB440D">
      <w:pPr>
        <w:spacing w:line="360" w:lineRule="auto"/>
        <w:rPr>
          <w:color w:val="auto"/>
          <w:sz w:val="24"/>
          <w:highlight w:val="none"/>
        </w:rPr>
      </w:pPr>
    </w:p>
    <w:p w14:paraId="4C2FC3FA">
      <w:pPr>
        <w:pStyle w:val="3"/>
        <w:numPr>
          <w:numId w:val="0"/>
        </w:numPr>
        <w:spacing w:line="360" w:lineRule="auto"/>
        <w:ind w:left="-2" w:leftChars="-2" w:hanging="2" w:hangingChars="1"/>
        <w:rPr>
          <w:color w:val="auto"/>
          <w:highlight w:val="none"/>
        </w:rPr>
      </w:pPr>
      <w:bookmarkStart w:id="17" w:name="_Toc197702698"/>
      <w:r>
        <w:rPr>
          <w:rFonts w:hint="default" w:ascii="Times New Roman" w:hAnsi="Times New Roman" w:eastAsia="黑体" w:cs="Times New Roman"/>
          <w:color w:val="auto"/>
          <w:kern w:val="2"/>
          <w:sz w:val="28"/>
          <w:szCs w:val="24"/>
          <w:lang w:val="en-US" w:eastAsia="zh-CN" w:bidi="ar-SA"/>
        </w:rPr>
        <w:t>七、</w:t>
      </w:r>
      <w:r>
        <w:rPr>
          <w:color w:val="auto"/>
          <w:highlight w:val="none"/>
        </w:rPr>
        <w:t>学时安排</w:t>
      </w:r>
      <w:bookmarkEnd w:id="17"/>
    </w:p>
    <w:p w14:paraId="5F7E2748">
      <w:pPr>
        <w:snapToGrid w:val="0"/>
        <w:spacing w:line="360" w:lineRule="auto"/>
        <w:ind w:firstLine="480" w:firstLineChars="200"/>
        <w:contextualSpacing/>
        <w:rPr>
          <w:color w:val="auto"/>
          <w:sz w:val="24"/>
          <w:highlight w:val="none"/>
        </w:rPr>
      </w:pPr>
      <w:r>
        <w:rPr>
          <w:color w:val="auto"/>
          <w:sz w:val="24"/>
          <w:highlight w:val="none"/>
        </w:rPr>
        <w:t>总学时不少于2500学时，每16-18学时折算1学分，其中</w:t>
      </w:r>
      <w:r>
        <w:rPr>
          <w:rFonts w:hint="eastAsia"/>
          <w:color w:val="auto"/>
          <w:sz w:val="24"/>
          <w:highlight w:val="none"/>
          <w:lang w:eastAsia="zh-CN"/>
        </w:rPr>
        <w:t>，</w:t>
      </w:r>
      <w:r>
        <w:rPr>
          <w:color w:val="auto"/>
          <w:sz w:val="24"/>
          <w:highlight w:val="none"/>
        </w:rPr>
        <w:t>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5F6ED667">
      <w:pPr>
        <w:snapToGrid w:val="0"/>
        <w:spacing w:line="360" w:lineRule="auto"/>
        <w:ind w:firstLine="480" w:firstLineChars="200"/>
        <w:contextualSpacing/>
        <w:rPr>
          <w:color w:val="auto"/>
          <w:sz w:val="24"/>
          <w:highlight w:val="none"/>
        </w:rPr>
      </w:pPr>
    </w:p>
    <w:p w14:paraId="355B15C2">
      <w:pPr>
        <w:snapToGrid w:val="0"/>
        <w:spacing w:line="360" w:lineRule="auto"/>
        <w:ind w:firstLine="480" w:firstLineChars="200"/>
        <w:contextualSpacing/>
        <w:rPr>
          <w:color w:val="auto"/>
          <w:sz w:val="24"/>
          <w:highlight w:val="none"/>
        </w:rPr>
      </w:pPr>
    </w:p>
    <w:p w14:paraId="00525E32">
      <w:pPr>
        <w:snapToGrid w:val="0"/>
        <w:spacing w:line="360" w:lineRule="auto"/>
        <w:ind w:firstLine="480" w:firstLineChars="200"/>
        <w:contextualSpacing/>
        <w:rPr>
          <w:color w:val="auto"/>
          <w:sz w:val="24"/>
          <w:highlight w:val="none"/>
        </w:rPr>
      </w:pPr>
    </w:p>
    <w:p w14:paraId="79C838A3">
      <w:pPr>
        <w:snapToGrid w:val="0"/>
        <w:spacing w:line="360" w:lineRule="auto"/>
        <w:ind w:firstLine="480" w:firstLineChars="200"/>
        <w:contextualSpacing/>
        <w:rPr>
          <w:color w:val="auto"/>
          <w:sz w:val="24"/>
          <w:highlight w:val="none"/>
        </w:rPr>
      </w:pPr>
    </w:p>
    <w:p w14:paraId="6112EABD">
      <w:pPr>
        <w:snapToGrid w:val="0"/>
        <w:spacing w:line="360" w:lineRule="auto"/>
        <w:ind w:firstLine="480" w:firstLineChars="200"/>
        <w:contextualSpacing/>
        <w:rPr>
          <w:color w:val="auto"/>
          <w:sz w:val="24"/>
          <w:highlight w:val="none"/>
        </w:rPr>
      </w:pPr>
    </w:p>
    <w:p w14:paraId="3A7A8BCF">
      <w:pPr>
        <w:pStyle w:val="3"/>
        <w:numPr>
          <w:numId w:val="0"/>
        </w:numPr>
        <w:spacing w:line="360" w:lineRule="auto"/>
        <w:ind w:left="-2" w:leftChars="-2" w:hanging="2" w:hangingChars="1"/>
        <w:rPr>
          <w:color w:val="auto"/>
          <w:highlight w:val="none"/>
        </w:rPr>
      </w:pPr>
      <w:bookmarkStart w:id="18" w:name="_Toc197702699"/>
      <w:r>
        <w:rPr>
          <w:rFonts w:hint="default" w:ascii="Times New Roman" w:hAnsi="Times New Roman" w:eastAsia="黑体" w:cs="Times New Roman"/>
          <w:color w:val="auto"/>
          <w:kern w:val="2"/>
          <w:sz w:val="28"/>
          <w:szCs w:val="24"/>
          <w:lang w:val="en-US" w:eastAsia="zh-CN" w:bidi="ar-SA"/>
        </w:rPr>
        <w:t>八、</w:t>
      </w:r>
      <w:r>
        <w:rPr>
          <w:color w:val="auto"/>
          <w:highlight w:val="none"/>
        </w:rPr>
        <w:t>教学活动时间分配表</w:t>
      </w:r>
      <w:bookmarkEnd w:id="18"/>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color w:val="auto"/>
                <w:sz w:val="24"/>
                <w:highlight w:val="none"/>
              </w:rPr>
            </w:pPr>
            <w:r>
              <w:rPr>
                <w:color w:val="auto"/>
                <w:sz w:val="24"/>
                <w:highlight w:val="none"/>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color w:val="auto"/>
                <w:sz w:val="24"/>
                <w:highlight w:val="none"/>
              </w:rPr>
              <w:t>学年</w:t>
            </w:r>
          </w:p>
          <w:p w14:paraId="13228C00">
            <w:pPr>
              <w:snapToGrid w:val="0"/>
              <w:jc w:val="center"/>
              <w:rPr>
                <w:b/>
                <w:color w:val="auto"/>
                <w:sz w:val="24"/>
                <w:highlight w:val="none"/>
              </w:rPr>
            </w:pPr>
            <w:r>
              <w:rPr>
                <w:b/>
                <w:color w:val="auto"/>
                <w:sz w:val="24"/>
                <w:highlight w:val="none"/>
              </w:rPr>
              <w:t>周数</w:t>
            </w:r>
          </w:p>
          <w:p w14:paraId="2F619638">
            <w:pPr>
              <w:snapToGrid w:val="0"/>
              <w:rPr>
                <w:b/>
                <w:color w:val="auto"/>
                <w:sz w:val="24"/>
                <w:highlight w:val="none"/>
              </w:rPr>
            </w:pPr>
            <w:r>
              <w:rPr>
                <w:b/>
                <w:color w:val="auto"/>
                <w:sz w:val="24"/>
                <w:highlight w:val="none"/>
              </w:rPr>
              <w:t>项目</w:t>
            </w:r>
          </w:p>
        </w:tc>
        <w:tc>
          <w:tcPr>
            <w:tcW w:w="747" w:type="pct"/>
            <w:gridSpan w:val="2"/>
            <w:vAlign w:val="center"/>
          </w:tcPr>
          <w:p w14:paraId="4DCCC15A">
            <w:pPr>
              <w:snapToGrid w:val="0"/>
              <w:jc w:val="center"/>
              <w:rPr>
                <w:b/>
                <w:color w:val="auto"/>
                <w:sz w:val="24"/>
                <w:highlight w:val="none"/>
              </w:rPr>
            </w:pPr>
            <w:r>
              <w:rPr>
                <w:b/>
                <w:color w:val="auto"/>
                <w:sz w:val="24"/>
                <w:highlight w:val="none"/>
              </w:rPr>
              <w:t>第一学年</w:t>
            </w:r>
          </w:p>
        </w:tc>
        <w:tc>
          <w:tcPr>
            <w:tcW w:w="747" w:type="pct"/>
            <w:gridSpan w:val="2"/>
            <w:vAlign w:val="center"/>
          </w:tcPr>
          <w:p w14:paraId="43227FD3">
            <w:pPr>
              <w:snapToGrid w:val="0"/>
              <w:jc w:val="center"/>
              <w:rPr>
                <w:b/>
                <w:color w:val="auto"/>
                <w:sz w:val="24"/>
                <w:highlight w:val="none"/>
              </w:rPr>
            </w:pPr>
            <w:r>
              <w:rPr>
                <w:b/>
                <w:color w:val="auto"/>
                <w:sz w:val="24"/>
                <w:highlight w:val="none"/>
              </w:rPr>
              <w:t>第二学年</w:t>
            </w:r>
          </w:p>
        </w:tc>
        <w:tc>
          <w:tcPr>
            <w:tcW w:w="748" w:type="pct"/>
            <w:gridSpan w:val="2"/>
            <w:vAlign w:val="center"/>
          </w:tcPr>
          <w:p w14:paraId="1D8E8B3C">
            <w:pPr>
              <w:snapToGrid w:val="0"/>
              <w:jc w:val="center"/>
              <w:rPr>
                <w:b/>
                <w:color w:val="auto"/>
                <w:sz w:val="24"/>
                <w:highlight w:val="none"/>
              </w:rPr>
            </w:pPr>
            <w:r>
              <w:rPr>
                <w:b/>
                <w:color w:val="auto"/>
                <w:sz w:val="24"/>
                <w:highlight w:val="none"/>
              </w:rPr>
              <w:t>第三学年</w:t>
            </w:r>
          </w:p>
        </w:tc>
        <w:tc>
          <w:tcPr>
            <w:tcW w:w="420" w:type="pct"/>
            <w:vMerge w:val="restart"/>
            <w:vAlign w:val="center"/>
          </w:tcPr>
          <w:p w14:paraId="00803E83">
            <w:pPr>
              <w:snapToGrid w:val="0"/>
              <w:jc w:val="center"/>
              <w:rPr>
                <w:b/>
                <w:color w:val="auto"/>
                <w:sz w:val="24"/>
                <w:highlight w:val="none"/>
              </w:rPr>
            </w:pPr>
            <w:r>
              <w:rPr>
                <w:b/>
                <w:color w:val="auto"/>
                <w:sz w:val="24"/>
                <w:highlight w:val="none"/>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color w:val="auto"/>
                <w:sz w:val="24"/>
                <w:highlight w:val="none"/>
              </w:rPr>
            </w:pPr>
          </w:p>
        </w:tc>
        <w:tc>
          <w:tcPr>
            <w:tcW w:w="373" w:type="pct"/>
            <w:vAlign w:val="center"/>
          </w:tcPr>
          <w:p w14:paraId="02BA6EF6">
            <w:pPr>
              <w:snapToGrid w:val="0"/>
              <w:jc w:val="center"/>
              <w:rPr>
                <w:b/>
                <w:color w:val="auto"/>
                <w:sz w:val="24"/>
                <w:highlight w:val="none"/>
              </w:rPr>
            </w:pPr>
            <w:r>
              <w:rPr>
                <w:b/>
                <w:color w:val="auto"/>
                <w:sz w:val="24"/>
                <w:highlight w:val="none"/>
              </w:rPr>
              <w:t>一</w:t>
            </w:r>
          </w:p>
        </w:tc>
        <w:tc>
          <w:tcPr>
            <w:tcW w:w="374" w:type="pct"/>
            <w:vAlign w:val="center"/>
          </w:tcPr>
          <w:p w14:paraId="453F862B">
            <w:pPr>
              <w:snapToGrid w:val="0"/>
              <w:jc w:val="center"/>
              <w:rPr>
                <w:b/>
                <w:color w:val="auto"/>
                <w:sz w:val="24"/>
                <w:highlight w:val="none"/>
              </w:rPr>
            </w:pPr>
            <w:r>
              <w:rPr>
                <w:b/>
                <w:color w:val="auto"/>
                <w:sz w:val="24"/>
                <w:highlight w:val="none"/>
              </w:rPr>
              <w:t>二</w:t>
            </w:r>
          </w:p>
        </w:tc>
        <w:tc>
          <w:tcPr>
            <w:tcW w:w="374" w:type="pct"/>
            <w:vAlign w:val="center"/>
          </w:tcPr>
          <w:p w14:paraId="310AFF4F">
            <w:pPr>
              <w:snapToGrid w:val="0"/>
              <w:jc w:val="center"/>
              <w:rPr>
                <w:b/>
                <w:color w:val="auto"/>
                <w:sz w:val="24"/>
                <w:highlight w:val="none"/>
              </w:rPr>
            </w:pPr>
            <w:r>
              <w:rPr>
                <w:b/>
                <w:color w:val="auto"/>
                <w:sz w:val="24"/>
                <w:highlight w:val="none"/>
              </w:rPr>
              <w:t>三</w:t>
            </w:r>
          </w:p>
        </w:tc>
        <w:tc>
          <w:tcPr>
            <w:tcW w:w="373" w:type="pct"/>
            <w:vAlign w:val="center"/>
          </w:tcPr>
          <w:p w14:paraId="0DF14275">
            <w:pPr>
              <w:snapToGrid w:val="0"/>
              <w:jc w:val="center"/>
              <w:rPr>
                <w:b/>
                <w:color w:val="auto"/>
                <w:sz w:val="24"/>
                <w:highlight w:val="none"/>
              </w:rPr>
            </w:pPr>
            <w:r>
              <w:rPr>
                <w:b/>
                <w:color w:val="auto"/>
                <w:sz w:val="24"/>
                <w:highlight w:val="none"/>
              </w:rPr>
              <w:t>四</w:t>
            </w:r>
          </w:p>
        </w:tc>
        <w:tc>
          <w:tcPr>
            <w:tcW w:w="374" w:type="pct"/>
            <w:vAlign w:val="center"/>
          </w:tcPr>
          <w:p w14:paraId="7B8F444A">
            <w:pPr>
              <w:snapToGrid w:val="0"/>
              <w:jc w:val="center"/>
              <w:rPr>
                <w:b/>
                <w:color w:val="auto"/>
                <w:sz w:val="24"/>
                <w:highlight w:val="none"/>
              </w:rPr>
            </w:pPr>
            <w:r>
              <w:rPr>
                <w:b/>
                <w:color w:val="auto"/>
                <w:sz w:val="24"/>
                <w:highlight w:val="none"/>
              </w:rPr>
              <w:t>五</w:t>
            </w:r>
          </w:p>
        </w:tc>
        <w:tc>
          <w:tcPr>
            <w:tcW w:w="374" w:type="pct"/>
            <w:vAlign w:val="center"/>
          </w:tcPr>
          <w:p w14:paraId="423BB728">
            <w:pPr>
              <w:snapToGrid w:val="0"/>
              <w:jc w:val="center"/>
              <w:rPr>
                <w:b/>
                <w:color w:val="auto"/>
                <w:sz w:val="24"/>
                <w:highlight w:val="none"/>
              </w:rPr>
            </w:pPr>
            <w:r>
              <w:rPr>
                <w:b/>
                <w:color w:val="auto"/>
                <w:sz w:val="24"/>
                <w:highlight w:val="none"/>
              </w:rPr>
              <w:t>六</w:t>
            </w:r>
          </w:p>
        </w:tc>
        <w:tc>
          <w:tcPr>
            <w:tcW w:w="420" w:type="pct"/>
            <w:vMerge w:val="continue"/>
            <w:vAlign w:val="center"/>
          </w:tcPr>
          <w:p w14:paraId="07EE3F25">
            <w:pPr>
              <w:snapToGrid w:val="0"/>
              <w:rPr>
                <w:b/>
                <w:color w:val="auto"/>
                <w:sz w:val="24"/>
                <w:highlight w:val="none"/>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color w:val="auto"/>
                <w:sz w:val="24"/>
                <w:highlight w:val="none"/>
              </w:rPr>
            </w:pPr>
            <w:r>
              <w:rPr>
                <w:color w:val="auto"/>
                <w:sz w:val="24"/>
                <w:highlight w:val="none"/>
              </w:rPr>
              <w:t>入学教育、军训</w:t>
            </w:r>
          </w:p>
        </w:tc>
        <w:tc>
          <w:tcPr>
            <w:tcW w:w="373" w:type="pct"/>
            <w:tcMar>
              <w:left w:w="0" w:type="dxa"/>
              <w:right w:w="0" w:type="dxa"/>
            </w:tcMar>
            <w:vAlign w:val="center"/>
          </w:tcPr>
          <w:p w14:paraId="5FC77DB5">
            <w:pPr>
              <w:snapToGrid w:val="0"/>
              <w:jc w:val="center"/>
              <w:rPr>
                <w:color w:val="auto"/>
                <w:sz w:val="24"/>
                <w:highlight w:val="none"/>
              </w:rPr>
            </w:pPr>
            <w:r>
              <w:rPr>
                <w:color w:val="auto"/>
                <w:sz w:val="24"/>
                <w:highlight w:val="none"/>
              </w:rPr>
              <w:t>2</w:t>
            </w:r>
          </w:p>
        </w:tc>
        <w:tc>
          <w:tcPr>
            <w:tcW w:w="374" w:type="pct"/>
            <w:tcMar>
              <w:left w:w="0" w:type="dxa"/>
              <w:right w:w="0" w:type="dxa"/>
            </w:tcMar>
            <w:vAlign w:val="center"/>
          </w:tcPr>
          <w:p w14:paraId="032E72A2">
            <w:pPr>
              <w:snapToGrid w:val="0"/>
              <w:jc w:val="center"/>
              <w:rPr>
                <w:color w:val="auto"/>
                <w:sz w:val="24"/>
                <w:highlight w:val="none"/>
              </w:rPr>
            </w:pPr>
          </w:p>
        </w:tc>
        <w:tc>
          <w:tcPr>
            <w:tcW w:w="374" w:type="pct"/>
            <w:tcMar>
              <w:left w:w="0" w:type="dxa"/>
              <w:right w:w="0" w:type="dxa"/>
            </w:tcMar>
            <w:vAlign w:val="center"/>
          </w:tcPr>
          <w:p w14:paraId="27F05737">
            <w:pPr>
              <w:snapToGrid w:val="0"/>
              <w:jc w:val="center"/>
              <w:rPr>
                <w:color w:val="auto"/>
                <w:sz w:val="24"/>
                <w:highlight w:val="none"/>
              </w:rPr>
            </w:pPr>
          </w:p>
        </w:tc>
        <w:tc>
          <w:tcPr>
            <w:tcW w:w="373" w:type="pct"/>
            <w:tcMar>
              <w:left w:w="0" w:type="dxa"/>
              <w:right w:w="0" w:type="dxa"/>
            </w:tcMar>
            <w:vAlign w:val="center"/>
          </w:tcPr>
          <w:p w14:paraId="4A4EB2D2">
            <w:pPr>
              <w:snapToGrid w:val="0"/>
              <w:jc w:val="center"/>
              <w:rPr>
                <w:color w:val="auto"/>
                <w:sz w:val="24"/>
                <w:highlight w:val="none"/>
              </w:rPr>
            </w:pPr>
          </w:p>
        </w:tc>
        <w:tc>
          <w:tcPr>
            <w:tcW w:w="374" w:type="pct"/>
            <w:tcMar>
              <w:left w:w="0" w:type="dxa"/>
              <w:right w:w="0" w:type="dxa"/>
            </w:tcMar>
            <w:vAlign w:val="center"/>
          </w:tcPr>
          <w:p w14:paraId="482F0AF7">
            <w:pPr>
              <w:snapToGrid w:val="0"/>
              <w:jc w:val="center"/>
              <w:rPr>
                <w:color w:val="auto"/>
                <w:sz w:val="24"/>
                <w:highlight w:val="none"/>
              </w:rPr>
            </w:pPr>
          </w:p>
        </w:tc>
        <w:tc>
          <w:tcPr>
            <w:tcW w:w="374" w:type="pct"/>
            <w:tcMar>
              <w:left w:w="0" w:type="dxa"/>
              <w:right w:w="0" w:type="dxa"/>
            </w:tcMar>
            <w:vAlign w:val="center"/>
          </w:tcPr>
          <w:p w14:paraId="4FC4760E">
            <w:pPr>
              <w:snapToGrid w:val="0"/>
              <w:jc w:val="center"/>
              <w:rPr>
                <w:color w:val="auto"/>
                <w:sz w:val="24"/>
                <w:highlight w:val="none"/>
              </w:rPr>
            </w:pPr>
          </w:p>
        </w:tc>
        <w:tc>
          <w:tcPr>
            <w:tcW w:w="420" w:type="pct"/>
            <w:tcMar>
              <w:left w:w="0" w:type="dxa"/>
              <w:right w:w="0" w:type="dxa"/>
            </w:tcMar>
            <w:vAlign w:val="center"/>
          </w:tcPr>
          <w:p w14:paraId="3EF1C623">
            <w:pPr>
              <w:snapToGrid w:val="0"/>
              <w:jc w:val="center"/>
              <w:rPr>
                <w:color w:val="auto"/>
                <w:sz w:val="24"/>
                <w:highlight w:val="none"/>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color w:val="auto"/>
                <w:sz w:val="24"/>
                <w:highlight w:val="none"/>
              </w:rPr>
            </w:pPr>
            <w:r>
              <w:rPr>
                <w:color w:val="auto"/>
                <w:sz w:val="24"/>
                <w:highlight w:val="none"/>
              </w:rPr>
              <w:t>理论教学（含课内实践教学）</w:t>
            </w:r>
          </w:p>
        </w:tc>
        <w:tc>
          <w:tcPr>
            <w:tcW w:w="373" w:type="pct"/>
            <w:tcMar>
              <w:left w:w="0" w:type="dxa"/>
              <w:right w:w="0" w:type="dxa"/>
            </w:tcMar>
            <w:vAlign w:val="center"/>
          </w:tcPr>
          <w:p w14:paraId="70895B07">
            <w:pPr>
              <w:snapToGrid w:val="0"/>
              <w:jc w:val="center"/>
              <w:rPr>
                <w:bCs/>
                <w:color w:val="auto"/>
                <w:sz w:val="24"/>
                <w:highlight w:val="none"/>
              </w:rPr>
            </w:pPr>
            <w:r>
              <w:rPr>
                <w:bCs/>
                <w:color w:val="auto"/>
                <w:sz w:val="24"/>
                <w:highlight w:val="none"/>
              </w:rPr>
              <w:t>16</w:t>
            </w:r>
          </w:p>
        </w:tc>
        <w:tc>
          <w:tcPr>
            <w:tcW w:w="374" w:type="pct"/>
            <w:tcMar>
              <w:left w:w="0" w:type="dxa"/>
              <w:right w:w="0" w:type="dxa"/>
            </w:tcMar>
            <w:vAlign w:val="center"/>
          </w:tcPr>
          <w:p w14:paraId="6076160D">
            <w:pPr>
              <w:snapToGrid w:val="0"/>
              <w:jc w:val="center"/>
              <w:rPr>
                <w:color w:val="auto"/>
                <w:sz w:val="24"/>
                <w:highlight w:val="none"/>
              </w:rPr>
            </w:pPr>
            <w:r>
              <w:rPr>
                <w:bCs/>
                <w:color w:val="auto"/>
                <w:sz w:val="24"/>
                <w:highlight w:val="none"/>
              </w:rPr>
              <w:t>16</w:t>
            </w:r>
          </w:p>
        </w:tc>
        <w:tc>
          <w:tcPr>
            <w:tcW w:w="374" w:type="pct"/>
            <w:tcMar>
              <w:left w:w="0" w:type="dxa"/>
              <w:right w:w="0" w:type="dxa"/>
            </w:tcMar>
            <w:vAlign w:val="center"/>
          </w:tcPr>
          <w:p w14:paraId="2D38C9F7">
            <w:pPr>
              <w:snapToGrid w:val="0"/>
              <w:jc w:val="center"/>
              <w:rPr>
                <w:color w:val="auto"/>
                <w:sz w:val="24"/>
                <w:highlight w:val="none"/>
              </w:rPr>
            </w:pPr>
            <w:r>
              <w:rPr>
                <w:bCs/>
                <w:color w:val="auto"/>
                <w:sz w:val="24"/>
                <w:highlight w:val="none"/>
              </w:rPr>
              <w:t>16</w:t>
            </w:r>
          </w:p>
        </w:tc>
        <w:tc>
          <w:tcPr>
            <w:tcW w:w="373" w:type="pct"/>
            <w:tcMar>
              <w:left w:w="0" w:type="dxa"/>
              <w:right w:w="0" w:type="dxa"/>
            </w:tcMar>
            <w:vAlign w:val="center"/>
          </w:tcPr>
          <w:p w14:paraId="76A8C904">
            <w:pPr>
              <w:snapToGrid w:val="0"/>
              <w:jc w:val="center"/>
              <w:rPr>
                <w:color w:val="auto"/>
                <w:sz w:val="24"/>
                <w:highlight w:val="none"/>
              </w:rPr>
            </w:pPr>
            <w:r>
              <w:rPr>
                <w:bCs/>
                <w:color w:val="auto"/>
                <w:sz w:val="24"/>
                <w:highlight w:val="none"/>
              </w:rPr>
              <w:t>16</w:t>
            </w:r>
          </w:p>
        </w:tc>
        <w:tc>
          <w:tcPr>
            <w:tcW w:w="374" w:type="pct"/>
            <w:tcMar>
              <w:left w:w="0" w:type="dxa"/>
              <w:right w:w="0" w:type="dxa"/>
            </w:tcMar>
            <w:vAlign w:val="center"/>
          </w:tcPr>
          <w:p w14:paraId="443498D0">
            <w:pPr>
              <w:snapToGrid w:val="0"/>
              <w:jc w:val="center"/>
              <w:rPr>
                <w:color w:val="auto"/>
                <w:sz w:val="24"/>
                <w:highlight w:val="none"/>
              </w:rPr>
            </w:pPr>
          </w:p>
        </w:tc>
        <w:tc>
          <w:tcPr>
            <w:tcW w:w="374" w:type="pct"/>
            <w:tcMar>
              <w:left w:w="0" w:type="dxa"/>
              <w:right w:w="0" w:type="dxa"/>
            </w:tcMar>
            <w:vAlign w:val="center"/>
          </w:tcPr>
          <w:p w14:paraId="30D72EDE">
            <w:pPr>
              <w:snapToGrid w:val="0"/>
              <w:jc w:val="center"/>
              <w:rPr>
                <w:color w:val="auto"/>
                <w:sz w:val="24"/>
                <w:highlight w:val="none"/>
              </w:rPr>
            </w:pPr>
          </w:p>
        </w:tc>
        <w:tc>
          <w:tcPr>
            <w:tcW w:w="420" w:type="pct"/>
            <w:tcMar>
              <w:left w:w="0" w:type="dxa"/>
              <w:right w:w="0" w:type="dxa"/>
            </w:tcMar>
            <w:vAlign w:val="center"/>
          </w:tcPr>
          <w:p w14:paraId="4A2DC32E">
            <w:pPr>
              <w:snapToGrid w:val="0"/>
              <w:jc w:val="center"/>
              <w:rPr>
                <w:color w:val="auto"/>
                <w:sz w:val="24"/>
                <w:highlight w:val="none"/>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color w:val="auto"/>
                <w:sz w:val="24"/>
                <w:highlight w:val="none"/>
              </w:rPr>
            </w:pPr>
            <w:r>
              <w:rPr>
                <w:rFonts w:hint="eastAsia"/>
                <w:color w:val="auto"/>
                <w:sz w:val="24"/>
                <w:highlight w:val="none"/>
              </w:rPr>
              <w:t>法定假期</w:t>
            </w:r>
          </w:p>
        </w:tc>
        <w:tc>
          <w:tcPr>
            <w:tcW w:w="373" w:type="pct"/>
            <w:tcMar>
              <w:left w:w="0" w:type="dxa"/>
              <w:right w:w="0" w:type="dxa"/>
            </w:tcMar>
            <w:vAlign w:val="center"/>
          </w:tcPr>
          <w:p w14:paraId="1C3EAB34">
            <w:pPr>
              <w:snapToGrid w:val="0"/>
              <w:jc w:val="center"/>
              <w:rPr>
                <w:color w:val="auto"/>
                <w:sz w:val="24"/>
                <w:highlight w:val="none"/>
              </w:rPr>
            </w:pPr>
            <w:r>
              <w:rPr>
                <w:rFonts w:hint="eastAsia"/>
                <w:color w:val="auto"/>
                <w:sz w:val="24"/>
                <w:highlight w:val="none"/>
              </w:rPr>
              <w:t>1</w:t>
            </w:r>
          </w:p>
        </w:tc>
        <w:tc>
          <w:tcPr>
            <w:tcW w:w="374" w:type="pct"/>
            <w:tcMar>
              <w:left w:w="0" w:type="dxa"/>
              <w:right w:w="0" w:type="dxa"/>
            </w:tcMar>
            <w:vAlign w:val="center"/>
          </w:tcPr>
          <w:p w14:paraId="2B3ABD83">
            <w:pPr>
              <w:snapToGrid w:val="0"/>
              <w:jc w:val="center"/>
              <w:rPr>
                <w:color w:val="auto"/>
                <w:sz w:val="24"/>
                <w:highlight w:val="none"/>
              </w:rPr>
            </w:pPr>
            <w:r>
              <w:rPr>
                <w:rFonts w:hint="eastAsia"/>
                <w:color w:val="auto"/>
                <w:sz w:val="24"/>
                <w:highlight w:val="none"/>
              </w:rPr>
              <w:t>1</w:t>
            </w:r>
          </w:p>
        </w:tc>
        <w:tc>
          <w:tcPr>
            <w:tcW w:w="374" w:type="pct"/>
            <w:tcMar>
              <w:left w:w="0" w:type="dxa"/>
              <w:right w:w="0" w:type="dxa"/>
            </w:tcMar>
            <w:vAlign w:val="center"/>
          </w:tcPr>
          <w:p w14:paraId="07851958">
            <w:pPr>
              <w:snapToGrid w:val="0"/>
              <w:jc w:val="center"/>
              <w:rPr>
                <w:color w:val="auto"/>
                <w:sz w:val="24"/>
                <w:highlight w:val="none"/>
              </w:rPr>
            </w:pPr>
            <w:r>
              <w:rPr>
                <w:rFonts w:hint="eastAsia"/>
                <w:color w:val="auto"/>
                <w:sz w:val="24"/>
                <w:highlight w:val="none"/>
              </w:rPr>
              <w:t>1</w:t>
            </w:r>
          </w:p>
        </w:tc>
        <w:tc>
          <w:tcPr>
            <w:tcW w:w="373" w:type="pct"/>
            <w:tcMar>
              <w:left w:w="0" w:type="dxa"/>
              <w:right w:w="0" w:type="dxa"/>
            </w:tcMar>
            <w:vAlign w:val="center"/>
          </w:tcPr>
          <w:p w14:paraId="1829F4C7">
            <w:pPr>
              <w:snapToGrid w:val="0"/>
              <w:jc w:val="center"/>
              <w:rPr>
                <w:color w:val="auto"/>
                <w:sz w:val="24"/>
                <w:highlight w:val="none"/>
              </w:rPr>
            </w:pPr>
            <w:r>
              <w:rPr>
                <w:rFonts w:hint="eastAsia"/>
                <w:color w:val="auto"/>
                <w:sz w:val="24"/>
                <w:highlight w:val="none"/>
              </w:rPr>
              <w:t>1</w:t>
            </w:r>
          </w:p>
        </w:tc>
        <w:tc>
          <w:tcPr>
            <w:tcW w:w="374" w:type="pct"/>
            <w:tcMar>
              <w:left w:w="0" w:type="dxa"/>
              <w:right w:w="0" w:type="dxa"/>
            </w:tcMar>
            <w:vAlign w:val="center"/>
          </w:tcPr>
          <w:p w14:paraId="1CA0256D">
            <w:pPr>
              <w:snapToGrid w:val="0"/>
              <w:jc w:val="center"/>
              <w:rPr>
                <w:color w:val="auto"/>
                <w:sz w:val="24"/>
                <w:highlight w:val="none"/>
              </w:rPr>
            </w:pPr>
            <w:r>
              <w:rPr>
                <w:rFonts w:hint="eastAsia"/>
                <w:color w:val="auto"/>
                <w:sz w:val="24"/>
                <w:highlight w:val="none"/>
              </w:rPr>
              <w:t>1</w:t>
            </w:r>
          </w:p>
        </w:tc>
        <w:tc>
          <w:tcPr>
            <w:tcW w:w="374" w:type="pct"/>
            <w:tcMar>
              <w:left w:w="0" w:type="dxa"/>
              <w:right w:w="0" w:type="dxa"/>
            </w:tcMar>
            <w:vAlign w:val="center"/>
          </w:tcPr>
          <w:p w14:paraId="46C883BD">
            <w:pPr>
              <w:snapToGrid w:val="0"/>
              <w:jc w:val="center"/>
              <w:rPr>
                <w:color w:val="auto"/>
                <w:sz w:val="24"/>
                <w:highlight w:val="none"/>
              </w:rPr>
            </w:pPr>
            <w:r>
              <w:rPr>
                <w:rFonts w:hint="eastAsia"/>
                <w:color w:val="auto"/>
                <w:sz w:val="24"/>
                <w:highlight w:val="none"/>
              </w:rPr>
              <w:t>1</w:t>
            </w:r>
          </w:p>
        </w:tc>
        <w:tc>
          <w:tcPr>
            <w:tcW w:w="420" w:type="pct"/>
            <w:tcMar>
              <w:left w:w="0" w:type="dxa"/>
              <w:right w:w="0" w:type="dxa"/>
            </w:tcMar>
            <w:vAlign w:val="center"/>
          </w:tcPr>
          <w:p w14:paraId="1572CBE5">
            <w:pPr>
              <w:snapToGrid w:val="0"/>
              <w:jc w:val="center"/>
              <w:rPr>
                <w:color w:val="auto"/>
                <w:sz w:val="24"/>
                <w:highlight w:val="none"/>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color w:val="auto"/>
                <w:sz w:val="24"/>
                <w:highlight w:val="none"/>
              </w:rPr>
            </w:pPr>
            <w:r>
              <w:rPr>
                <w:color w:val="auto"/>
                <w:sz w:val="24"/>
                <w:highlight w:val="none"/>
              </w:rPr>
              <w:t>集中实践教学（含实习、实训、考证）</w:t>
            </w:r>
          </w:p>
        </w:tc>
        <w:tc>
          <w:tcPr>
            <w:tcW w:w="373" w:type="pct"/>
            <w:tcMar>
              <w:left w:w="0" w:type="dxa"/>
              <w:right w:w="0" w:type="dxa"/>
            </w:tcMar>
            <w:vAlign w:val="center"/>
          </w:tcPr>
          <w:p w14:paraId="7E0A23E2">
            <w:pPr>
              <w:snapToGrid w:val="0"/>
              <w:jc w:val="center"/>
              <w:rPr>
                <w:color w:val="auto"/>
                <w:sz w:val="24"/>
                <w:highlight w:val="none"/>
              </w:rPr>
            </w:pPr>
          </w:p>
        </w:tc>
        <w:tc>
          <w:tcPr>
            <w:tcW w:w="374" w:type="pct"/>
            <w:tcMar>
              <w:left w:w="0" w:type="dxa"/>
              <w:right w:w="0" w:type="dxa"/>
            </w:tcMar>
            <w:vAlign w:val="center"/>
          </w:tcPr>
          <w:p w14:paraId="660F8365">
            <w:pPr>
              <w:snapToGrid w:val="0"/>
              <w:jc w:val="center"/>
              <w:rPr>
                <w:color w:val="auto"/>
                <w:sz w:val="24"/>
                <w:highlight w:val="none"/>
              </w:rPr>
            </w:pPr>
            <w:r>
              <w:rPr>
                <w:rFonts w:hint="eastAsia"/>
                <w:color w:val="auto"/>
                <w:sz w:val="24"/>
                <w:highlight w:val="none"/>
              </w:rPr>
              <w:t>1～</w:t>
            </w:r>
            <w:r>
              <w:rPr>
                <w:color w:val="auto"/>
                <w:sz w:val="24"/>
                <w:highlight w:val="none"/>
              </w:rPr>
              <w:t>2</w:t>
            </w:r>
          </w:p>
        </w:tc>
        <w:tc>
          <w:tcPr>
            <w:tcW w:w="374" w:type="pct"/>
            <w:tcMar>
              <w:left w:w="0" w:type="dxa"/>
              <w:right w:w="0" w:type="dxa"/>
            </w:tcMar>
            <w:vAlign w:val="center"/>
          </w:tcPr>
          <w:p w14:paraId="7C30B8FE">
            <w:pPr>
              <w:snapToGrid w:val="0"/>
              <w:jc w:val="center"/>
              <w:rPr>
                <w:color w:val="auto"/>
                <w:sz w:val="24"/>
                <w:highlight w:val="none"/>
              </w:rPr>
            </w:pPr>
            <w:r>
              <w:rPr>
                <w:color w:val="auto"/>
                <w:sz w:val="24"/>
                <w:highlight w:val="none"/>
              </w:rPr>
              <w:t>1</w:t>
            </w:r>
            <w:r>
              <w:rPr>
                <w:rFonts w:hint="eastAsia"/>
                <w:color w:val="auto"/>
                <w:sz w:val="24"/>
                <w:highlight w:val="none"/>
              </w:rPr>
              <w:t>～2</w:t>
            </w:r>
          </w:p>
        </w:tc>
        <w:tc>
          <w:tcPr>
            <w:tcW w:w="373" w:type="pct"/>
            <w:tcMar>
              <w:left w:w="0" w:type="dxa"/>
              <w:right w:w="0" w:type="dxa"/>
            </w:tcMar>
            <w:vAlign w:val="center"/>
          </w:tcPr>
          <w:p w14:paraId="7435D96A">
            <w:pPr>
              <w:snapToGrid w:val="0"/>
              <w:jc w:val="center"/>
              <w:rPr>
                <w:color w:val="auto"/>
                <w:sz w:val="24"/>
                <w:highlight w:val="none"/>
              </w:rPr>
            </w:pPr>
            <w:r>
              <w:rPr>
                <w:color w:val="auto"/>
                <w:sz w:val="24"/>
                <w:highlight w:val="none"/>
              </w:rPr>
              <w:t>1</w:t>
            </w:r>
            <w:r>
              <w:rPr>
                <w:rFonts w:hint="eastAsia"/>
                <w:color w:val="auto"/>
                <w:sz w:val="24"/>
                <w:highlight w:val="none"/>
              </w:rPr>
              <w:t>～</w:t>
            </w:r>
            <w:r>
              <w:rPr>
                <w:color w:val="auto"/>
                <w:sz w:val="24"/>
                <w:highlight w:val="none"/>
              </w:rPr>
              <w:t>2</w:t>
            </w:r>
          </w:p>
        </w:tc>
        <w:tc>
          <w:tcPr>
            <w:tcW w:w="374" w:type="pct"/>
            <w:tcMar>
              <w:left w:w="0" w:type="dxa"/>
              <w:right w:w="0" w:type="dxa"/>
            </w:tcMar>
            <w:vAlign w:val="center"/>
          </w:tcPr>
          <w:p w14:paraId="50E29C23">
            <w:pPr>
              <w:snapToGrid w:val="0"/>
              <w:jc w:val="center"/>
              <w:rPr>
                <w:color w:val="auto"/>
                <w:sz w:val="24"/>
                <w:highlight w:val="none"/>
              </w:rPr>
            </w:pPr>
          </w:p>
        </w:tc>
        <w:tc>
          <w:tcPr>
            <w:tcW w:w="374" w:type="pct"/>
            <w:tcMar>
              <w:left w:w="0" w:type="dxa"/>
              <w:right w:w="0" w:type="dxa"/>
            </w:tcMar>
            <w:vAlign w:val="center"/>
          </w:tcPr>
          <w:p w14:paraId="208CC275">
            <w:pPr>
              <w:snapToGrid w:val="0"/>
              <w:jc w:val="center"/>
              <w:rPr>
                <w:color w:val="auto"/>
                <w:sz w:val="24"/>
                <w:highlight w:val="none"/>
              </w:rPr>
            </w:pPr>
          </w:p>
        </w:tc>
        <w:tc>
          <w:tcPr>
            <w:tcW w:w="420" w:type="pct"/>
            <w:tcMar>
              <w:left w:w="0" w:type="dxa"/>
              <w:right w:w="0" w:type="dxa"/>
            </w:tcMar>
            <w:vAlign w:val="center"/>
          </w:tcPr>
          <w:p w14:paraId="530CD0E1">
            <w:pPr>
              <w:snapToGrid w:val="0"/>
              <w:jc w:val="center"/>
              <w:rPr>
                <w:color w:val="auto"/>
                <w:sz w:val="24"/>
                <w:highlight w:val="none"/>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color w:val="auto"/>
                <w:sz w:val="24"/>
                <w:highlight w:val="none"/>
              </w:rPr>
            </w:pPr>
            <w:r>
              <w:rPr>
                <w:color w:val="auto"/>
                <w:sz w:val="24"/>
                <w:highlight w:val="none"/>
              </w:rPr>
              <w:t>期末复习考试</w:t>
            </w:r>
          </w:p>
        </w:tc>
        <w:tc>
          <w:tcPr>
            <w:tcW w:w="373" w:type="pct"/>
            <w:tcMar>
              <w:left w:w="0" w:type="dxa"/>
              <w:right w:w="0" w:type="dxa"/>
            </w:tcMar>
            <w:vAlign w:val="center"/>
          </w:tcPr>
          <w:p w14:paraId="457E5A4C">
            <w:pPr>
              <w:snapToGrid w:val="0"/>
              <w:jc w:val="center"/>
              <w:rPr>
                <w:color w:val="auto"/>
                <w:sz w:val="24"/>
                <w:highlight w:val="none"/>
              </w:rPr>
            </w:pPr>
            <w:r>
              <w:rPr>
                <w:color w:val="auto"/>
                <w:sz w:val="24"/>
                <w:highlight w:val="none"/>
              </w:rPr>
              <w:t>1</w:t>
            </w:r>
          </w:p>
        </w:tc>
        <w:tc>
          <w:tcPr>
            <w:tcW w:w="374" w:type="pct"/>
            <w:tcMar>
              <w:left w:w="0" w:type="dxa"/>
              <w:right w:w="0" w:type="dxa"/>
            </w:tcMar>
            <w:vAlign w:val="center"/>
          </w:tcPr>
          <w:p w14:paraId="1B5AE316">
            <w:pPr>
              <w:snapToGrid w:val="0"/>
              <w:jc w:val="center"/>
              <w:rPr>
                <w:color w:val="auto"/>
                <w:sz w:val="24"/>
                <w:highlight w:val="none"/>
              </w:rPr>
            </w:pPr>
            <w:r>
              <w:rPr>
                <w:color w:val="auto"/>
                <w:sz w:val="24"/>
                <w:highlight w:val="none"/>
              </w:rPr>
              <w:t>1</w:t>
            </w:r>
          </w:p>
        </w:tc>
        <w:tc>
          <w:tcPr>
            <w:tcW w:w="374" w:type="pct"/>
            <w:tcMar>
              <w:left w:w="0" w:type="dxa"/>
              <w:right w:w="0" w:type="dxa"/>
            </w:tcMar>
            <w:vAlign w:val="center"/>
          </w:tcPr>
          <w:p w14:paraId="08C695CB">
            <w:pPr>
              <w:snapToGrid w:val="0"/>
              <w:jc w:val="center"/>
              <w:rPr>
                <w:color w:val="auto"/>
                <w:sz w:val="24"/>
                <w:highlight w:val="none"/>
              </w:rPr>
            </w:pPr>
            <w:r>
              <w:rPr>
                <w:color w:val="auto"/>
                <w:sz w:val="24"/>
                <w:highlight w:val="none"/>
              </w:rPr>
              <w:t>1</w:t>
            </w:r>
          </w:p>
        </w:tc>
        <w:tc>
          <w:tcPr>
            <w:tcW w:w="373" w:type="pct"/>
            <w:tcMar>
              <w:left w:w="0" w:type="dxa"/>
              <w:right w:w="0" w:type="dxa"/>
            </w:tcMar>
            <w:vAlign w:val="center"/>
          </w:tcPr>
          <w:p w14:paraId="456D3535">
            <w:pPr>
              <w:snapToGrid w:val="0"/>
              <w:jc w:val="center"/>
              <w:rPr>
                <w:color w:val="auto"/>
                <w:sz w:val="24"/>
                <w:highlight w:val="none"/>
              </w:rPr>
            </w:pPr>
            <w:r>
              <w:rPr>
                <w:color w:val="auto"/>
                <w:sz w:val="24"/>
                <w:highlight w:val="none"/>
              </w:rPr>
              <w:t>1</w:t>
            </w:r>
          </w:p>
        </w:tc>
        <w:tc>
          <w:tcPr>
            <w:tcW w:w="374" w:type="pct"/>
            <w:tcMar>
              <w:left w:w="0" w:type="dxa"/>
              <w:right w:w="0" w:type="dxa"/>
            </w:tcMar>
            <w:vAlign w:val="center"/>
          </w:tcPr>
          <w:p w14:paraId="099F0F65">
            <w:pPr>
              <w:snapToGrid w:val="0"/>
              <w:jc w:val="center"/>
              <w:rPr>
                <w:color w:val="auto"/>
                <w:sz w:val="24"/>
                <w:highlight w:val="none"/>
              </w:rPr>
            </w:pPr>
          </w:p>
        </w:tc>
        <w:tc>
          <w:tcPr>
            <w:tcW w:w="374" w:type="pct"/>
            <w:tcMar>
              <w:left w:w="0" w:type="dxa"/>
              <w:right w:w="0" w:type="dxa"/>
            </w:tcMar>
            <w:vAlign w:val="center"/>
          </w:tcPr>
          <w:p w14:paraId="361E40B4">
            <w:pPr>
              <w:snapToGrid w:val="0"/>
              <w:jc w:val="center"/>
              <w:rPr>
                <w:color w:val="auto"/>
                <w:sz w:val="24"/>
                <w:highlight w:val="none"/>
              </w:rPr>
            </w:pPr>
          </w:p>
        </w:tc>
        <w:tc>
          <w:tcPr>
            <w:tcW w:w="420" w:type="pct"/>
            <w:tcMar>
              <w:left w:w="0" w:type="dxa"/>
              <w:right w:w="0" w:type="dxa"/>
            </w:tcMar>
            <w:vAlign w:val="center"/>
          </w:tcPr>
          <w:p w14:paraId="41A4F6E8">
            <w:pPr>
              <w:snapToGrid w:val="0"/>
              <w:jc w:val="center"/>
              <w:rPr>
                <w:color w:val="auto"/>
                <w:sz w:val="24"/>
                <w:highlight w:val="none"/>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color w:val="auto"/>
                <w:sz w:val="24"/>
                <w:highlight w:val="none"/>
              </w:rPr>
            </w:pPr>
            <w:r>
              <w:rPr>
                <w:color w:val="auto"/>
                <w:sz w:val="24"/>
                <w:highlight w:val="none"/>
              </w:rPr>
              <w:t>顶岗实习、毕业设计（论文）</w:t>
            </w:r>
          </w:p>
        </w:tc>
        <w:tc>
          <w:tcPr>
            <w:tcW w:w="373" w:type="pct"/>
            <w:tcMar>
              <w:left w:w="0" w:type="dxa"/>
              <w:right w:w="0" w:type="dxa"/>
            </w:tcMar>
            <w:vAlign w:val="center"/>
          </w:tcPr>
          <w:p w14:paraId="545F472E">
            <w:pPr>
              <w:snapToGrid w:val="0"/>
              <w:jc w:val="center"/>
              <w:rPr>
                <w:color w:val="auto"/>
                <w:sz w:val="24"/>
                <w:highlight w:val="none"/>
              </w:rPr>
            </w:pPr>
          </w:p>
        </w:tc>
        <w:tc>
          <w:tcPr>
            <w:tcW w:w="374" w:type="pct"/>
            <w:tcMar>
              <w:left w:w="0" w:type="dxa"/>
              <w:right w:w="0" w:type="dxa"/>
            </w:tcMar>
            <w:vAlign w:val="center"/>
          </w:tcPr>
          <w:p w14:paraId="663A9D54">
            <w:pPr>
              <w:snapToGrid w:val="0"/>
              <w:jc w:val="center"/>
              <w:rPr>
                <w:color w:val="auto"/>
                <w:sz w:val="24"/>
                <w:highlight w:val="none"/>
              </w:rPr>
            </w:pPr>
          </w:p>
        </w:tc>
        <w:tc>
          <w:tcPr>
            <w:tcW w:w="374" w:type="pct"/>
            <w:tcMar>
              <w:left w:w="0" w:type="dxa"/>
              <w:right w:w="0" w:type="dxa"/>
            </w:tcMar>
            <w:vAlign w:val="center"/>
          </w:tcPr>
          <w:p w14:paraId="71B295C0">
            <w:pPr>
              <w:snapToGrid w:val="0"/>
              <w:jc w:val="center"/>
              <w:rPr>
                <w:color w:val="auto"/>
                <w:sz w:val="24"/>
                <w:highlight w:val="none"/>
              </w:rPr>
            </w:pPr>
          </w:p>
        </w:tc>
        <w:tc>
          <w:tcPr>
            <w:tcW w:w="373" w:type="pct"/>
            <w:tcMar>
              <w:left w:w="0" w:type="dxa"/>
              <w:right w:w="0" w:type="dxa"/>
            </w:tcMar>
            <w:vAlign w:val="center"/>
          </w:tcPr>
          <w:p w14:paraId="6B27D8B7">
            <w:pPr>
              <w:snapToGrid w:val="0"/>
              <w:jc w:val="center"/>
              <w:rPr>
                <w:color w:val="auto"/>
                <w:sz w:val="24"/>
                <w:highlight w:val="none"/>
              </w:rPr>
            </w:pPr>
          </w:p>
        </w:tc>
        <w:tc>
          <w:tcPr>
            <w:tcW w:w="374" w:type="pct"/>
            <w:tcMar>
              <w:left w:w="0" w:type="dxa"/>
              <w:right w:w="0" w:type="dxa"/>
            </w:tcMar>
            <w:vAlign w:val="center"/>
          </w:tcPr>
          <w:p w14:paraId="72B1C8F5">
            <w:pPr>
              <w:snapToGrid w:val="0"/>
              <w:jc w:val="center"/>
              <w:rPr>
                <w:color w:val="auto"/>
                <w:sz w:val="24"/>
                <w:highlight w:val="none"/>
              </w:rPr>
            </w:pPr>
            <w:r>
              <w:rPr>
                <w:rFonts w:hint="eastAsia"/>
                <w:color w:val="auto"/>
                <w:sz w:val="24"/>
                <w:highlight w:val="none"/>
              </w:rPr>
              <w:t>18</w:t>
            </w:r>
          </w:p>
        </w:tc>
        <w:tc>
          <w:tcPr>
            <w:tcW w:w="374" w:type="pct"/>
            <w:tcMar>
              <w:left w:w="0" w:type="dxa"/>
              <w:right w:w="0" w:type="dxa"/>
            </w:tcMar>
            <w:vAlign w:val="center"/>
          </w:tcPr>
          <w:p w14:paraId="29774F2C">
            <w:pPr>
              <w:snapToGrid w:val="0"/>
              <w:jc w:val="center"/>
              <w:rPr>
                <w:color w:val="auto"/>
                <w:sz w:val="24"/>
                <w:highlight w:val="none"/>
              </w:rPr>
            </w:pPr>
            <w:r>
              <w:rPr>
                <w:color w:val="auto"/>
                <w:sz w:val="24"/>
                <w:highlight w:val="none"/>
              </w:rPr>
              <w:t>18</w:t>
            </w:r>
          </w:p>
        </w:tc>
        <w:tc>
          <w:tcPr>
            <w:tcW w:w="420" w:type="pct"/>
            <w:tcMar>
              <w:left w:w="0" w:type="dxa"/>
              <w:right w:w="0" w:type="dxa"/>
            </w:tcMar>
            <w:vAlign w:val="center"/>
          </w:tcPr>
          <w:p w14:paraId="612521AD">
            <w:pPr>
              <w:snapToGrid w:val="0"/>
              <w:jc w:val="center"/>
              <w:rPr>
                <w:color w:val="auto"/>
                <w:sz w:val="24"/>
                <w:highlight w:val="none"/>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color w:val="auto"/>
                <w:sz w:val="24"/>
                <w:highlight w:val="none"/>
              </w:rPr>
            </w:pPr>
            <w:r>
              <w:rPr>
                <w:b/>
                <w:color w:val="auto"/>
                <w:sz w:val="24"/>
                <w:highlight w:val="none"/>
              </w:rPr>
              <w:t>合计</w:t>
            </w:r>
          </w:p>
        </w:tc>
        <w:tc>
          <w:tcPr>
            <w:tcW w:w="373" w:type="pct"/>
            <w:tcMar>
              <w:left w:w="0" w:type="dxa"/>
              <w:right w:w="0" w:type="dxa"/>
            </w:tcMar>
            <w:vAlign w:val="center"/>
          </w:tcPr>
          <w:p w14:paraId="740FA334">
            <w:pPr>
              <w:snapToGrid w:val="0"/>
              <w:jc w:val="center"/>
              <w:rPr>
                <w:b/>
                <w:color w:val="auto"/>
                <w:sz w:val="24"/>
                <w:highlight w:val="none"/>
              </w:rPr>
            </w:pPr>
            <w:r>
              <w:rPr>
                <w:b/>
                <w:color w:val="auto"/>
                <w:sz w:val="24"/>
                <w:highlight w:val="none"/>
              </w:rPr>
              <w:t>20</w:t>
            </w:r>
          </w:p>
        </w:tc>
        <w:tc>
          <w:tcPr>
            <w:tcW w:w="374" w:type="pct"/>
            <w:tcMar>
              <w:left w:w="0" w:type="dxa"/>
              <w:right w:w="0" w:type="dxa"/>
            </w:tcMar>
            <w:vAlign w:val="center"/>
          </w:tcPr>
          <w:p w14:paraId="16F4EE77">
            <w:pPr>
              <w:snapToGrid w:val="0"/>
              <w:jc w:val="center"/>
              <w:rPr>
                <w:b/>
                <w:color w:val="auto"/>
                <w:sz w:val="24"/>
                <w:highlight w:val="none"/>
              </w:rPr>
            </w:pPr>
            <w:r>
              <w:rPr>
                <w:b/>
                <w:color w:val="auto"/>
                <w:sz w:val="24"/>
                <w:highlight w:val="none"/>
              </w:rPr>
              <w:t>20</w:t>
            </w:r>
          </w:p>
        </w:tc>
        <w:tc>
          <w:tcPr>
            <w:tcW w:w="374" w:type="pct"/>
            <w:tcMar>
              <w:left w:w="0" w:type="dxa"/>
              <w:right w:w="0" w:type="dxa"/>
            </w:tcMar>
            <w:vAlign w:val="center"/>
          </w:tcPr>
          <w:p w14:paraId="4D6D0659">
            <w:pPr>
              <w:snapToGrid w:val="0"/>
              <w:jc w:val="center"/>
              <w:rPr>
                <w:b/>
                <w:color w:val="auto"/>
                <w:sz w:val="24"/>
                <w:highlight w:val="none"/>
              </w:rPr>
            </w:pPr>
            <w:r>
              <w:rPr>
                <w:b/>
                <w:color w:val="auto"/>
                <w:sz w:val="24"/>
                <w:highlight w:val="none"/>
              </w:rPr>
              <w:t>20</w:t>
            </w:r>
          </w:p>
        </w:tc>
        <w:tc>
          <w:tcPr>
            <w:tcW w:w="373" w:type="pct"/>
            <w:tcMar>
              <w:left w:w="0" w:type="dxa"/>
              <w:right w:w="0" w:type="dxa"/>
            </w:tcMar>
            <w:vAlign w:val="center"/>
          </w:tcPr>
          <w:p w14:paraId="6A996A3B">
            <w:pPr>
              <w:snapToGrid w:val="0"/>
              <w:jc w:val="center"/>
              <w:rPr>
                <w:b/>
                <w:color w:val="auto"/>
                <w:sz w:val="24"/>
                <w:highlight w:val="none"/>
              </w:rPr>
            </w:pPr>
            <w:r>
              <w:rPr>
                <w:b/>
                <w:color w:val="auto"/>
                <w:sz w:val="24"/>
                <w:highlight w:val="none"/>
              </w:rPr>
              <w:t>20</w:t>
            </w:r>
          </w:p>
        </w:tc>
        <w:tc>
          <w:tcPr>
            <w:tcW w:w="374" w:type="pct"/>
            <w:tcMar>
              <w:left w:w="0" w:type="dxa"/>
              <w:right w:w="0" w:type="dxa"/>
            </w:tcMar>
            <w:vAlign w:val="center"/>
          </w:tcPr>
          <w:p w14:paraId="1A8D5AD6">
            <w:pPr>
              <w:snapToGrid w:val="0"/>
              <w:jc w:val="center"/>
              <w:rPr>
                <w:b/>
                <w:color w:val="auto"/>
                <w:sz w:val="24"/>
                <w:highlight w:val="none"/>
              </w:rPr>
            </w:pPr>
            <w:r>
              <w:rPr>
                <w:b/>
                <w:color w:val="auto"/>
                <w:sz w:val="24"/>
                <w:highlight w:val="none"/>
              </w:rPr>
              <w:t>20</w:t>
            </w:r>
          </w:p>
        </w:tc>
        <w:tc>
          <w:tcPr>
            <w:tcW w:w="374" w:type="pct"/>
            <w:tcMar>
              <w:left w:w="0" w:type="dxa"/>
              <w:right w:w="0" w:type="dxa"/>
            </w:tcMar>
            <w:vAlign w:val="center"/>
          </w:tcPr>
          <w:p w14:paraId="3BE291D1">
            <w:pPr>
              <w:snapToGrid w:val="0"/>
              <w:jc w:val="center"/>
              <w:rPr>
                <w:b/>
                <w:color w:val="auto"/>
                <w:sz w:val="24"/>
                <w:highlight w:val="none"/>
              </w:rPr>
            </w:pPr>
            <w:r>
              <w:rPr>
                <w:b/>
                <w:color w:val="auto"/>
                <w:sz w:val="24"/>
                <w:highlight w:val="none"/>
              </w:rPr>
              <w:t>19</w:t>
            </w:r>
          </w:p>
        </w:tc>
        <w:tc>
          <w:tcPr>
            <w:tcW w:w="420" w:type="pct"/>
            <w:tcMar>
              <w:left w:w="0" w:type="dxa"/>
              <w:right w:w="0" w:type="dxa"/>
            </w:tcMar>
            <w:vAlign w:val="center"/>
          </w:tcPr>
          <w:p w14:paraId="7E00E31A">
            <w:pPr>
              <w:snapToGrid w:val="0"/>
              <w:jc w:val="center"/>
              <w:rPr>
                <w:b/>
                <w:color w:val="auto"/>
                <w:sz w:val="24"/>
                <w:highlight w:val="none"/>
              </w:rPr>
            </w:pPr>
            <w:r>
              <w:rPr>
                <w:b/>
                <w:color w:val="auto"/>
                <w:sz w:val="24"/>
                <w:highlight w:val="none"/>
              </w:rPr>
              <w:t>119</w:t>
            </w:r>
          </w:p>
        </w:tc>
      </w:tr>
    </w:tbl>
    <w:p w14:paraId="4A588DA9">
      <w:pPr>
        <w:pStyle w:val="3"/>
        <w:numPr>
          <w:numId w:val="0"/>
        </w:numPr>
        <w:spacing w:line="360" w:lineRule="auto"/>
        <w:ind w:left="-2" w:leftChars="-2" w:hanging="2" w:hangingChars="1"/>
        <w:rPr>
          <w:rFonts w:hint="default" w:ascii="Times New Roman" w:hAnsi="Times New Roman" w:eastAsia="黑体" w:cs="Times New Roman"/>
          <w:color w:val="auto"/>
          <w:kern w:val="2"/>
          <w:sz w:val="28"/>
          <w:szCs w:val="24"/>
          <w:lang w:val="en-US" w:eastAsia="zh-CN" w:bidi="ar-SA"/>
        </w:rPr>
      </w:pPr>
      <w:bookmarkStart w:id="19" w:name="_Toc197702700"/>
    </w:p>
    <w:p w14:paraId="12691F69">
      <w:pPr>
        <w:pStyle w:val="3"/>
        <w:numPr>
          <w:numId w:val="0"/>
        </w:numPr>
        <w:spacing w:line="360" w:lineRule="auto"/>
        <w:ind w:left="-2" w:leftChars="-2" w:hanging="2" w:hangingChars="1"/>
        <w:rPr>
          <w:rFonts w:hint="default" w:ascii="Times New Roman" w:hAnsi="Times New Roman" w:eastAsia="黑体" w:cs="Times New Roman"/>
          <w:color w:val="auto"/>
          <w:kern w:val="2"/>
          <w:sz w:val="28"/>
          <w:szCs w:val="24"/>
          <w:lang w:val="en-US" w:eastAsia="zh-CN" w:bidi="ar-SA"/>
        </w:rPr>
      </w:pPr>
    </w:p>
    <w:p w14:paraId="1C8A5F27">
      <w:pPr>
        <w:pStyle w:val="3"/>
        <w:numPr>
          <w:numId w:val="0"/>
        </w:numPr>
        <w:spacing w:line="360" w:lineRule="auto"/>
        <w:ind w:left="-2" w:leftChars="-2" w:hanging="2" w:hangingChars="1"/>
        <w:rPr>
          <w:rFonts w:hint="default" w:ascii="Times New Roman" w:hAnsi="Times New Roman" w:eastAsia="黑体" w:cs="Times New Roman"/>
          <w:color w:val="auto"/>
          <w:kern w:val="2"/>
          <w:sz w:val="28"/>
          <w:szCs w:val="24"/>
          <w:lang w:val="en-US" w:eastAsia="zh-CN" w:bidi="ar-SA"/>
        </w:rPr>
      </w:pPr>
    </w:p>
    <w:p w14:paraId="1639D36A">
      <w:pPr>
        <w:pStyle w:val="3"/>
        <w:numPr>
          <w:numId w:val="0"/>
        </w:numPr>
        <w:spacing w:line="360" w:lineRule="auto"/>
        <w:ind w:left="-2" w:leftChars="-2" w:hanging="2" w:hangingChars="1"/>
        <w:rPr>
          <w:color w:val="auto"/>
          <w:highlight w:val="none"/>
        </w:rPr>
      </w:pPr>
      <w:r>
        <w:rPr>
          <w:rFonts w:hint="default" w:ascii="Times New Roman" w:hAnsi="Times New Roman" w:eastAsia="黑体" w:cs="Times New Roman"/>
          <w:color w:val="auto"/>
          <w:kern w:val="2"/>
          <w:sz w:val="28"/>
          <w:szCs w:val="24"/>
          <w:lang w:val="en-US" w:eastAsia="zh-CN" w:bidi="ar-SA"/>
        </w:rPr>
        <w:t>九、</w:t>
      </w:r>
      <w:r>
        <w:rPr>
          <w:color w:val="auto"/>
          <w:highlight w:val="none"/>
        </w:rPr>
        <w:t>学时分配比例表</w:t>
      </w:r>
      <w:bookmarkEnd w:id="19"/>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color w:val="auto"/>
                <w:sz w:val="24"/>
                <w:szCs w:val="28"/>
                <w:highlight w:val="none"/>
              </w:rPr>
            </w:pPr>
            <w:r>
              <w:rPr>
                <w:b/>
                <w:color w:val="auto"/>
                <w:sz w:val="24"/>
                <w:szCs w:val="28"/>
                <w:highlight w:val="none"/>
              </w:rPr>
              <w:t>课程性质</w:t>
            </w:r>
          </w:p>
        </w:tc>
        <w:tc>
          <w:tcPr>
            <w:tcW w:w="891" w:type="pct"/>
            <w:shd w:val="clear" w:color="auto" w:fill="auto"/>
            <w:noWrap/>
            <w:vAlign w:val="center"/>
          </w:tcPr>
          <w:p w14:paraId="471F1BD8">
            <w:pPr>
              <w:snapToGrid w:val="0"/>
              <w:spacing w:line="360" w:lineRule="auto"/>
              <w:jc w:val="center"/>
              <w:rPr>
                <w:b/>
                <w:color w:val="auto"/>
                <w:sz w:val="24"/>
                <w:szCs w:val="28"/>
                <w:highlight w:val="none"/>
              </w:rPr>
            </w:pPr>
            <w:r>
              <w:rPr>
                <w:b/>
                <w:color w:val="auto"/>
                <w:sz w:val="24"/>
                <w:szCs w:val="28"/>
                <w:highlight w:val="none"/>
              </w:rPr>
              <w:t>总学时</w:t>
            </w:r>
          </w:p>
        </w:tc>
        <w:tc>
          <w:tcPr>
            <w:tcW w:w="891" w:type="pct"/>
            <w:shd w:val="clear" w:color="auto" w:fill="auto"/>
            <w:noWrap/>
            <w:vAlign w:val="center"/>
          </w:tcPr>
          <w:p w14:paraId="0F7C0523">
            <w:pPr>
              <w:snapToGrid w:val="0"/>
              <w:spacing w:line="360" w:lineRule="auto"/>
              <w:jc w:val="center"/>
              <w:rPr>
                <w:b/>
                <w:color w:val="auto"/>
                <w:sz w:val="24"/>
                <w:szCs w:val="28"/>
                <w:highlight w:val="none"/>
              </w:rPr>
            </w:pPr>
            <w:r>
              <w:rPr>
                <w:b/>
                <w:color w:val="auto"/>
                <w:sz w:val="24"/>
                <w:szCs w:val="28"/>
                <w:highlight w:val="none"/>
              </w:rPr>
              <w:t>理论学时</w:t>
            </w:r>
          </w:p>
        </w:tc>
        <w:tc>
          <w:tcPr>
            <w:tcW w:w="891" w:type="pct"/>
            <w:shd w:val="clear" w:color="auto" w:fill="auto"/>
            <w:noWrap/>
            <w:vAlign w:val="center"/>
          </w:tcPr>
          <w:p w14:paraId="23DDD720">
            <w:pPr>
              <w:snapToGrid w:val="0"/>
              <w:spacing w:line="360" w:lineRule="auto"/>
              <w:jc w:val="center"/>
              <w:rPr>
                <w:b/>
                <w:color w:val="auto"/>
                <w:sz w:val="24"/>
                <w:szCs w:val="28"/>
                <w:highlight w:val="none"/>
              </w:rPr>
            </w:pPr>
            <w:r>
              <w:rPr>
                <w:b/>
                <w:color w:val="auto"/>
                <w:sz w:val="24"/>
                <w:szCs w:val="28"/>
                <w:highlight w:val="none"/>
              </w:rPr>
              <w:t>实践学时</w:t>
            </w:r>
          </w:p>
        </w:tc>
        <w:tc>
          <w:tcPr>
            <w:tcW w:w="890" w:type="pct"/>
            <w:shd w:val="clear" w:color="auto" w:fill="auto"/>
            <w:noWrap/>
            <w:vAlign w:val="center"/>
          </w:tcPr>
          <w:p w14:paraId="10929E13">
            <w:pPr>
              <w:snapToGrid w:val="0"/>
              <w:spacing w:line="360" w:lineRule="auto"/>
              <w:jc w:val="center"/>
              <w:rPr>
                <w:b/>
                <w:color w:val="auto"/>
                <w:sz w:val="24"/>
                <w:szCs w:val="28"/>
                <w:highlight w:val="none"/>
              </w:rPr>
            </w:pPr>
            <w:r>
              <w:rPr>
                <w:b/>
                <w:color w:val="auto"/>
                <w:sz w:val="24"/>
                <w:szCs w:val="28"/>
                <w:highlight w:val="none"/>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color w:val="auto"/>
                <w:sz w:val="24"/>
                <w:szCs w:val="28"/>
                <w:highlight w:val="none"/>
              </w:rPr>
            </w:pPr>
            <w:r>
              <w:rPr>
                <w:color w:val="auto"/>
                <w:sz w:val="24"/>
                <w:szCs w:val="28"/>
                <w:highlight w:val="none"/>
              </w:rPr>
              <w:t>公共</w:t>
            </w:r>
            <w:r>
              <w:rPr>
                <w:rFonts w:hint="eastAsia"/>
                <w:color w:val="auto"/>
                <w:sz w:val="24"/>
                <w:szCs w:val="28"/>
                <w:highlight w:val="none"/>
              </w:rPr>
              <w:t>必修</w:t>
            </w:r>
            <w:r>
              <w:rPr>
                <w:color w:val="auto"/>
                <w:sz w:val="24"/>
                <w:szCs w:val="28"/>
                <w:highlight w:val="none"/>
              </w:rPr>
              <w:t>课</w:t>
            </w:r>
          </w:p>
        </w:tc>
        <w:tc>
          <w:tcPr>
            <w:tcW w:w="891" w:type="pct"/>
            <w:shd w:val="clear" w:color="auto" w:fill="auto"/>
            <w:noWrap/>
            <w:vAlign w:val="center"/>
          </w:tcPr>
          <w:p w14:paraId="1BA928DB">
            <w:pPr>
              <w:widowControl/>
              <w:snapToGrid w:val="0"/>
              <w:spacing w:line="220" w:lineRule="exact"/>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752</w:t>
            </w:r>
          </w:p>
        </w:tc>
        <w:tc>
          <w:tcPr>
            <w:tcW w:w="891" w:type="pct"/>
            <w:shd w:val="clear" w:color="auto" w:fill="auto"/>
            <w:noWrap/>
            <w:vAlign w:val="center"/>
          </w:tcPr>
          <w:p w14:paraId="43912A7B">
            <w:pPr>
              <w:widowControl/>
              <w:snapToGrid w:val="0"/>
              <w:spacing w:line="220" w:lineRule="exact"/>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438</w:t>
            </w:r>
          </w:p>
        </w:tc>
        <w:tc>
          <w:tcPr>
            <w:tcW w:w="891" w:type="pct"/>
            <w:shd w:val="clear" w:color="auto" w:fill="auto"/>
            <w:noWrap/>
            <w:vAlign w:val="center"/>
          </w:tcPr>
          <w:p w14:paraId="3317911E">
            <w:pPr>
              <w:widowControl/>
              <w:snapToGrid w:val="0"/>
              <w:spacing w:line="220" w:lineRule="exact"/>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314</w:t>
            </w:r>
          </w:p>
        </w:tc>
        <w:tc>
          <w:tcPr>
            <w:tcW w:w="890" w:type="pct"/>
            <w:shd w:val="clear" w:color="auto" w:fill="auto"/>
            <w:noWrap/>
            <w:vAlign w:val="center"/>
          </w:tcPr>
          <w:p w14:paraId="2A26FCF9">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41.75%</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color w:val="auto"/>
                <w:sz w:val="24"/>
                <w:szCs w:val="28"/>
                <w:highlight w:val="none"/>
              </w:rPr>
            </w:pPr>
            <w:r>
              <w:rPr>
                <w:color w:val="auto"/>
                <w:sz w:val="24"/>
                <w:szCs w:val="28"/>
                <w:highlight w:val="none"/>
              </w:rPr>
              <w:t>专业基础课</w:t>
            </w:r>
          </w:p>
        </w:tc>
        <w:tc>
          <w:tcPr>
            <w:tcW w:w="891" w:type="pct"/>
            <w:shd w:val="clear" w:color="auto" w:fill="auto"/>
            <w:noWrap/>
            <w:vAlign w:val="center"/>
          </w:tcPr>
          <w:p w14:paraId="3A525892">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288</w:t>
            </w:r>
          </w:p>
        </w:tc>
        <w:tc>
          <w:tcPr>
            <w:tcW w:w="891" w:type="pct"/>
            <w:shd w:val="clear" w:color="auto" w:fill="auto"/>
            <w:noWrap/>
            <w:vAlign w:val="center"/>
          </w:tcPr>
          <w:p w14:paraId="041C9AD5">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206</w:t>
            </w:r>
          </w:p>
        </w:tc>
        <w:tc>
          <w:tcPr>
            <w:tcW w:w="891" w:type="pct"/>
            <w:shd w:val="clear" w:color="auto" w:fill="auto"/>
            <w:noWrap/>
            <w:vAlign w:val="center"/>
          </w:tcPr>
          <w:p w14:paraId="586C7CEC">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82</w:t>
            </w:r>
          </w:p>
        </w:tc>
        <w:tc>
          <w:tcPr>
            <w:tcW w:w="890" w:type="pct"/>
            <w:shd w:val="clear" w:color="auto" w:fill="auto"/>
            <w:noWrap/>
            <w:vAlign w:val="center"/>
          </w:tcPr>
          <w:p w14:paraId="550155A1">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28.47%</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color w:val="auto"/>
                <w:sz w:val="24"/>
                <w:szCs w:val="28"/>
                <w:highlight w:val="none"/>
              </w:rPr>
            </w:pPr>
            <w:r>
              <w:rPr>
                <w:color w:val="auto"/>
                <w:sz w:val="24"/>
                <w:szCs w:val="28"/>
                <w:highlight w:val="none"/>
              </w:rPr>
              <w:t>专业</w:t>
            </w:r>
            <w:r>
              <w:rPr>
                <w:rFonts w:hint="eastAsia"/>
                <w:color w:val="auto"/>
                <w:sz w:val="24"/>
                <w:szCs w:val="28"/>
                <w:highlight w:val="none"/>
              </w:rPr>
              <w:t>核心</w:t>
            </w:r>
            <w:r>
              <w:rPr>
                <w:color w:val="auto"/>
                <w:sz w:val="24"/>
                <w:szCs w:val="28"/>
                <w:highlight w:val="none"/>
              </w:rPr>
              <w:t>课</w:t>
            </w:r>
          </w:p>
        </w:tc>
        <w:tc>
          <w:tcPr>
            <w:tcW w:w="891" w:type="pct"/>
            <w:shd w:val="clear" w:color="auto" w:fill="auto"/>
            <w:noWrap/>
            <w:vAlign w:val="center"/>
          </w:tcPr>
          <w:p w14:paraId="2CFEE657">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288</w:t>
            </w:r>
          </w:p>
        </w:tc>
        <w:tc>
          <w:tcPr>
            <w:tcW w:w="891" w:type="pct"/>
            <w:shd w:val="clear" w:color="auto" w:fill="auto"/>
            <w:noWrap/>
            <w:vAlign w:val="center"/>
          </w:tcPr>
          <w:p w14:paraId="49D75EA3">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50</w:t>
            </w:r>
          </w:p>
        </w:tc>
        <w:tc>
          <w:tcPr>
            <w:tcW w:w="891" w:type="pct"/>
            <w:shd w:val="clear" w:color="auto" w:fill="auto"/>
            <w:noWrap/>
            <w:vAlign w:val="center"/>
          </w:tcPr>
          <w:p w14:paraId="6656748B">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254</w:t>
            </w:r>
          </w:p>
        </w:tc>
        <w:tc>
          <w:tcPr>
            <w:tcW w:w="890" w:type="pct"/>
            <w:shd w:val="clear" w:color="auto" w:fill="auto"/>
            <w:noWrap/>
            <w:vAlign w:val="center"/>
          </w:tcPr>
          <w:p w14:paraId="1DC1F6D4">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88.19%</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color w:val="auto"/>
                <w:sz w:val="24"/>
                <w:szCs w:val="28"/>
                <w:highlight w:val="none"/>
              </w:rPr>
            </w:pPr>
            <w:r>
              <w:rPr>
                <w:rFonts w:hint="eastAsia"/>
                <w:color w:val="auto"/>
                <w:sz w:val="24"/>
                <w:szCs w:val="28"/>
                <w:highlight w:val="none"/>
              </w:rPr>
              <w:t>公共选修课</w:t>
            </w:r>
          </w:p>
        </w:tc>
        <w:tc>
          <w:tcPr>
            <w:tcW w:w="891" w:type="pct"/>
            <w:shd w:val="clear" w:color="auto" w:fill="auto"/>
            <w:noWrap/>
            <w:vAlign w:val="center"/>
          </w:tcPr>
          <w:p w14:paraId="3C780F81">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128</w:t>
            </w:r>
          </w:p>
        </w:tc>
        <w:tc>
          <w:tcPr>
            <w:tcW w:w="891" w:type="pct"/>
            <w:shd w:val="clear" w:color="auto" w:fill="auto"/>
            <w:noWrap/>
            <w:vAlign w:val="center"/>
          </w:tcPr>
          <w:p w14:paraId="64F79A95">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80</w:t>
            </w:r>
          </w:p>
        </w:tc>
        <w:tc>
          <w:tcPr>
            <w:tcW w:w="891" w:type="pct"/>
            <w:shd w:val="clear" w:color="auto" w:fill="auto"/>
            <w:noWrap/>
            <w:vAlign w:val="center"/>
          </w:tcPr>
          <w:p w14:paraId="09F2345A">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48</w:t>
            </w:r>
          </w:p>
        </w:tc>
        <w:tc>
          <w:tcPr>
            <w:tcW w:w="890" w:type="pct"/>
            <w:shd w:val="clear" w:color="auto" w:fill="auto"/>
            <w:noWrap/>
            <w:vAlign w:val="center"/>
          </w:tcPr>
          <w:p w14:paraId="2BCF1B97">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37.5%</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color w:val="auto"/>
                <w:sz w:val="24"/>
                <w:szCs w:val="28"/>
                <w:highlight w:val="none"/>
              </w:rPr>
            </w:pPr>
            <w:r>
              <w:rPr>
                <w:color w:val="auto"/>
                <w:sz w:val="24"/>
                <w:szCs w:val="28"/>
                <w:highlight w:val="none"/>
              </w:rPr>
              <w:t>专业</w:t>
            </w:r>
            <w:r>
              <w:rPr>
                <w:rFonts w:hint="eastAsia"/>
                <w:color w:val="auto"/>
                <w:sz w:val="24"/>
                <w:szCs w:val="28"/>
                <w:highlight w:val="none"/>
              </w:rPr>
              <w:t>拓展</w:t>
            </w:r>
            <w:r>
              <w:rPr>
                <w:color w:val="auto"/>
                <w:sz w:val="24"/>
                <w:szCs w:val="28"/>
                <w:highlight w:val="none"/>
              </w:rPr>
              <w:t>课</w:t>
            </w:r>
          </w:p>
        </w:tc>
        <w:tc>
          <w:tcPr>
            <w:tcW w:w="891" w:type="pct"/>
            <w:shd w:val="clear" w:color="auto" w:fill="auto"/>
            <w:noWrap/>
            <w:vAlign w:val="center"/>
          </w:tcPr>
          <w:p w14:paraId="02581A08">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160</w:t>
            </w:r>
          </w:p>
        </w:tc>
        <w:tc>
          <w:tcPr>
            <w:tcW w:w="891" w:type="pct"/>
            <w:shd w:val="clear" w:color="auto" w:fill="auto"/>
            <w:noWrap/>
            <w:vAlign w:val="center"/>
          </w:tcPr>
          <w:p w14:paraId="08EB559D">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60</w:t>
            </w:r>
          </w:p>
        </w:tc>
        <w:tc>
          <w:tcPr>
            <w:tcW w:w="891" w:type="pct"/>
            <w:shd w:val="clear" w:color="auto" w:fill="auto"/>
            <w:noWrap/>
            <w:vAlign w:val="center"/>
          </w:tcPr>
          <w:p w14:paraId="47401E10">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100</w:t>
            </w:r>
          </w:p>
        </w:tc>
        <w:tc>
          <w:tcPr>
            <w:tcW w:w="890" w:type="pct"/>
            <w:shd w:val="clear" w:color="auto" w:fill="auto"/>
            <w:noWrap/>
            <w:vAlign w:val="center"/>
          </w:tcPr>
          <w:p w14:paraId="01CE14DD">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62.5%</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color w:val="auto"/>
                <w:sz w:val="24"/>
                <w:szCs w:val="28"/>
                <w:highlight w:val="none"/>
              </w:rPr>
            </w:pPr>
            <w:r>
              <w:rPr>
                <w:color w:val="auto"/>
                <w:sz w:val="24"/>
                <w:szCs w:val="28"/>
                <w:highlight w:val="none"/>
              </w:rPr>
              <w:t>集中实践</w:t>
            </w:r>
            <w:r>
              <w:rPr>
                <w:rFonts w:hint="eastAsia"/>
                <w:color w:val="auto"/>
                <w:sz w:val="24"/>
                <w:szCs w:val="28"/>
                <w:highlight w:val="none"/>
              </w:rPr>
              <w:t>课</w:t>
            </w:r>
          </w:p>
        </w:tc>
        <w:tc>
          <w:tcPr>
            <w:tcW w:w="891" w:type="pct"/>
            <w:shd w:val="clear" w:color="auto" w:fill="auto"/>
            <w:noWrap/>
            <w:vAlign w:val="center"/>
          </w:tcPr>
          <w:p w14:paraId="6CB967B5">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1008</w:t>
            </w:r>
          </w:p>
        </w:tc>
        <w:tc>
          <w:tcPr>
            <w:tcW w:w="891" w:type="pct"/>
            <w:shd w:val="clear" w:color="auto" w:fill="auto"/>
            <w:noWrap/>
            <w:vAlign w:val="center"/>
          </w:tcPr>
          <w:p w14:paraId="1FCC89AF">
            <w:pPr>
              <w:snapToGrid w:val="0"/>
              <w:spacing w:line="360" w:lineRule="auto"/>
              <w:jc w:val="center"/>
              <w:rPr>
                <w:rFonts w:hint="eastAsia" w:eastAsia="宋体"/>
                <w:b/>
                <w:color w:val="auto"/>
                <w:sz w:val="24"/>
                <w:szCs w:val="28"/>
                <w:highlight w:val="none"/>
                <w:lang w:val="en-US" w:eastAsia="zh-CN"/>
              </w:rPr>
            </w:pPr>
            <w:r>
              <w:rPr>
                <w:rFonts w:hint="eastAsia"/>
                <w:b/>
                <w:color w:val="auto"/>
                <w:sz w:val="24"/>
                <w:szCs w:val="28"/>
                <w:highlight w:val="none"/>
                <w:lang w:val="en-US" w:eastAsia="zh-CN"/>
              </w:rPr>
              <w:t>0</w:t>
            </w:r>
          </w:p>
        </w:tc>
        <w:tc>
          <w:tcPr>
            <w:tcW w:w="891" w:type="pct"/>
            <w:shd w:val="clear" w:color="auto" w:fill="auto"/>
            <w:noWrap/>
            <w:vAlign w:val="center"/>
          </w:tcPr>
          <w:p w14:paraId="04CACD07">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1008</w:t>
            </w:r>
          </w:p>
        </w:tc>
        <w:tc>
          <w:tcPr>
            <w:tcW w:w="890" w:type="pct"/>
            <w:shd w:val="clear" w:color="auto" w:fill="auto"/>
            <w:noWrap/>
            <w:vAlign w:val="center"/>
          </w:tcPr>
          <w:p w14:paraId="73283FD6">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color w:val="auto"/>
                <w:sz w:val="24"/>
                <w:szCs w:val="28"/>
                <w:highlight w:val="none"/>
              </w:rPr>
            </w:pPr>
            <w:r>
              <w:rPr>
                <w:b/>
                <w:color w:val="auto"/>
                <w:sz w:val="24"/>
                <w:szCs w:val="28"/>
                <w:highlight w:val="none"/>
              </w:rPr>
              <w:t>总计</w:t>
            </w:r>
          </w:p>
        </w:tc>
        <w:tc>
          <w:tcPr>
            <w:tcW w:w="891" w:type="pct"/>
            <w:shd w:val="clear" w:color="auto" w:fill="auto"/>
            <w:noWrap/>
            <w:vAlign w:val="center"/>
          </w:tcPr>
          <w:p w14:paraId="69C4A305">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2624</w:t>
            </w:r>
          </w:p>
        </w:tc>
        <w:tc>
          <w:tcPr>
            <w:tcW w:w="891" w:type="pct"/>
            <w:shd w:val="clear" w:color="auto" w:fill="auto"/>
            <w:noWrap/>
            <w:vAlign w:val="center"/>
          </w:tcPr>
          <w:p w14:paraId="37AED740">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834</w:t>
            </w:r>
          </w:p>
        </w:tc>
        <w:tc>
          <w:tcPr>
            <w:tcW w:w="891" w:type="pct"/>
            <w:shd w:val="clear" w:color="auto" w:fill="auto"/>
            <w:noWrap/>
            <w:vAlign w:val="center"/>
          </w:tcPr>
          <w:p w14:paraId="49848352">
            <w:pPr>
              <w:snapToGrid w:val="0"/>
              <w:spacing w:line="360" w:lineRule="auto"/>
              <w:jc w:val="center"/>
              <w:rPr>
                <w:rFonts w:hint="default" w:eastAsia="宋体"/>
                <w:b/>
                <w:color w:val="auto"/>
                <w:sz w:val="24"/>
                <w:szCs w:val="28"/>
                <w:highlight w:val="none"/>
                <w:lang w:val="en-US" w:eastAsia="zh-CN"/>
              </w:rPr>
            </w:pPr>
            <w:r>
              <w:rPr>
                <w:rFonts w:hint="eastAsia"/>
                <w:b/>
                <w:color w:val="auto"/>
                <w:sz w:val="24"/>
                <w:szCs w:val="28"/>
                <w:highlight w:val="none"/>
                <w:lang w:val="en-US" w:eastAsia="zh-CN"/>
              </w:rPr>
              <w:t>1806</w:t>
            </w:r>
          </w:p>
        </w:tc>
        <w:tc>
          <w:tcPr>
            <w:tcW w:w="890" w:type="pct"/>
            <w:shd w:val="clear" w:color="auto" w:fill="auto"/>
            <w:noWrap/>
            <w:vAlign w:val="center"/>
          </w:tcPr>
          <w:p w14:paraId="7BAECF28">
            <w:pPr>
              <w:snapToGrid w:val="0"/>
              <w:spacing w:line="360" w:lineRule="auto"/>
              <w:jc w:val="center"/>
              <w:rPr>
                <w:rFonts w:hint="eastAsia" w:ascii="宋体" w:hAnsi="宋体"/>
                <w:vanish/>
                <w:color w:val="auto"/>
                <w:sz w:val="24"/>
                <w:szCs w:val="22"/>
                <w:highlight w:val="none"/>
              </w:rPr>
            </w:pPr>
            <w:r>
              <w:rPr>
                <w:rFonts w:hint="eastAsia"/>
                <w:b/>
                <w:color w:val="auto"/>
                <w:sz w:val="24"/>
                <w:szCs w:val="28"/>
                <w:highlight w:val="none"/>
                <w:lang w:val="en-US" w:eastAsia="zh-CN"/>
              </w:rPr>
              <w:t>68.82%</w:t>
            </w:r>
            <w:r>
              <w:rPr>
                <w:rFonts w:hint="eastAsia" w:ascii="宋体" w:hAnsi="宋体"/>
                <w:vanish/>
                <w:color w:val="auto"/>
                <w:sz w:val="24"/>
                <w:szCs w:val="22"/>
                <w:highlight w:val="none"/>
                <w:lang w:val="en-US" w:eastAsia="zh-CN"/>
              </w:rPr>
              <w:t>66686868.82%</w:t>
            </w:r>
            <w:r>
              <w:rPr>
                <w:rFonts w:hint="eastAsia" w:ascii="宋体" w:hAnsi="宋体"/>
                <w:vanish/>
                <w:color w:val="auto"/>
                <w:sz w:val="24"/>
                <w:szCs w:val="22"/>
                <w:highlight w:val="none"/>
              </w:rPr>
              <w:t>要求＞</w:t>
            </w:r>
            <w:r>
              <w:rPr>
                <w:rFonts w:ascii="宋体" w:hAnsi="宋体"/>
                <w:vanish/>
                <w:color w:val="auto"/>
                <w:sz w:val="24"/>
                <w:szCs w:val="22"/>
                <w:highlight w:val="none"/>
              </w:rPr>
              <w:t>50%</w:t>
            </w:r>
          </w:p>
        </w:tc>
      </w:tr>
    </w:tbl>
    <w:p w14:paraId="6D0FFB44">
      <w:pPr>
        <w:widowControl/>
        <w:jc w:val="left"/>
        <w:rPr>
          <w:color w:val="auto"/>
          <w:sz w:val="24"/>
          <w:highlight w:val="none"/>
        </w:rPr>
      </w:pPr>
      <w:r>
        <w:rPr>
          <w:color w:val="auto"/>
          <w:sz w:val="24"/>
          <w:highlight w:val="none"/>
        </w:rPr>
        <w:br w:type="page"/>
      </w:r>
    </w:p>
    <w:p w14:paraId="7170F43A">
      <w:pPr>
        <w:pStyle w:val="3"/>
        <w:numPr>
          <w:numId w:val="0"/>
        </w:numPr>
        <w:spacing w:line="360" w:lineRule="auto"/>
        <w:ind w:left="-2" w:leftChars="-2" w:hanging="2" w:hangingChars="1"/>
        <w:rPr>
          <w:color w:val="auto"/>
          <w:sz w:val="24"/>
          <w:szCs w:val="22"/>
          <w:highlight w:val="none"/>
        </w:rPr>
      </w:pPr>
      <w:bookmarkStart w:id="20" w:name="_Toc197702701"/>
      <w:r>
        <w:rPr>
          <w:rFonts w:hint="default" w:ascii="Times New Roman" w:hAnsi="Times New Roman" w:eastAsia="黑体" w:cs="Times New Roman"/>
          <w:color w:val="auto"/>
          <w:kern w:val="2"/>
          <w:sz w:val="28"/>
          <w:szCs w:val="24"/>
          <w:lang w:val="en-US" w:eastAsia="zh-CN" w:bidi="ar-SA"/>
        </w:rPr>
        <w:t>十、</w:t>
      </w:r>
      <w:r>
        <w:rPr>
          <w:color w:val="auto"/>
          <w:highlight w:val="none"/>
        </w:rPr>
        <w:t>教学计划进程表</w:t>
      </w:r>
      <w:bookmarkStart w:id="21" w:name="_Toc422736381"/>
      <w:r>
        <w:rPr>
          <w:rFonts w:hint="eastAsia"/>
          <w:vanish/>
          <w:color w:val="auto"/>
          <w:sz w:val="24"/>
          <w:szCs w:val="22"/>
          <w:highlight w:val="none"/>
        </w:rPr>
        <w:t>（</w:t>
      </w:r>
    </w:p>
    <w:p w14:paraId="5C4A4853">
      <w:pPr>
        <w:pStyle w:val="3"/>
        <w:numPr>
          <w:ilvl w:val="0"/>
          <w:numId w:val="0"/>
        </w:numPr>
        <w:spacing w:line="360" w:lineRule="auto"/>
        <w:ind w:leftChars="-3"/>
        <w:rPr>
          <w:color w:val="auto"/>
          <w:sz w:val="24"/>
          <w:szCs w:val="22"/>
          <w:highlight w:val="none"/>
        </w:rPr>
      </w:pPr>
      <w:r>
        <w:drawing>
          <wp:inline distT="0" distB="0" distL="114300" distR="114300">
            <wp:extent cx="5728970" cy="8856980"/>
            <wp:effectExtent l="0" t="0" r="5080" b="127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7"/>
                    <a:stretch>
                      <a:fillRect/>
                    </a:stretch>
                  </pic:blipFill>
                  <pic:spPr>
                    <a:xfrm>
                      <a:off x="0" y="0"/>
                      <a:ext cx="5728970" cy="8856980"/>
                    </a:xfrm>
                    <a:prstGeom prst="rect">
                      <a:avLst/>
                    </a:prstGeom>
                    <a:noFill/>
                    <a:ln>
                      <a:noFill/>
                    </a:ln>
                  </pic:spPr>
                </pic:pic>
              </a:graphicData>
            </a:graphic>
          </wp:inline>
        </w:drawing>
      </w:r>
      <w:r>
        <w:rPr>
          <w:rFonts w:hint="eastAsia"/>
          <w:vanish/>
          <w:color w:val="auto"/>
          <w:sz w:val="24"/>
          <w:szCs w:val="22"/>
          <w:highlight w:val="none"/>
        </w:rPr>
        <w:object>
          <v:shape id="_x0000_i1025" o:spt="75" type="#_x0000_t75" style="height:730.45pt;width:472.1pt;" o:ole="t" filled="f" o:preferrelative="t" stroked="f" coordsize="21600,21600">
            <v:path/>
            <v:fill on="f" focussize="0,0"/>
            <v:stroke on="f"/>
            <v:imagedata r:id="rId9" o:title=""/>
            <o:lock v:ext="edit" aspectratio="f"/>
            <w10:wrap type="none"/>
            <w10:anchorlock/>
          </v:shape>
          <o:OLEObject Type="Embed" ProgID="Excel.Sheet.8" ShapeID="_x0000_i1025" DrawAspect="Content" ObjectID="_1468075725" r:id="rId8">
            <o:LockedField>false</o:LockedField>
          </o:OLEObject>
        </w:object>
      </w:r>
      <w:r>
        <w:rPr>
          <w:rFonts w:hint="eastAsia"/>
          <w:vanish/>
          <w:color w:val="auto"/>
          <w:sz w:val="24"/>
          <w:szCs w:val="22"/>
          <w:highlight w:val="none"/>
        </w:rPr>
        <w:object>
          <v:shape id="_x0000_i1026" o:spt="75" type="#_x0000_t75" style="height:730.45pt;width:472.1pt;" o:ole="t" filled="f" o:preferrelative="t" stroked="f" coordsize="21600,21600">
            <v:path/>
            <v:fill on="f" focussize="0,0"/>
            <v:stroke on="f"/>
            <v:imagedata r:id="rId11" o:title=""/>
            <o:lock v:ext="edit" aspectratio="f"/>
            <w10:wrap type="none"/>
            <w10:anchorlock/>
          </v:shape>
          <o:OLEObject Type="Embed" ProgID="Excel.Sheet.8" ShapeID="_x0000_i1026" DrawAspect="Content" ObjectID="_1468075726" r:id="rId10">
            <o:LockedField>false</o:LockedField>
          </o:OLEObject>
        </w:object>
      </w:r>
      <w:r>
        <w:rPr>
          <w:rFonts w:hint="eastAsia"/>
          <w:vanish/>
          <w:color w:val="auto"/>
          <w:sz w:val="24"/>
          <w:szCs w:val="22"/>
          <w:highlight w:val="none"/>
        </w:rPr>
        <w:object>
          <v:shape id="_x0000_i1027" o:spt="75" type="#_x0000_t75" style="height:730.45pt;width:472.1pt;" o:ole="t" filled="f" o:preferrelative="t" stroked="f" coordsize="21600,21600">
            <v:path/>
            <v:fill on="f" focussize="0,0"/>
            <v:stroke on="f"/>
            <v:imagedata r:id="rId13" o:title=""/>
            <o:lock v:ext="edit" aspectratio="f"/>
            <w10:wrap type="none"/>
            <w10:anchorlock/>
          </v:shape>
          <o:OLEObject Type="Embed" ProgID="Excel.Sheet.8" ShapeID="_x0000_i1027" DrawAspect="Content" ObjectID="_1468075727" r:id="rId12">
            <o:LockedField>false</o:LockedField>
          </o:OLEObject>
        </w:object>
      </w:r>
      <w:r>
        <w:rPr>
          <w:rFonts w:hint="eastAsia"/>
          <w:vanish/>
          <w:color w:val="auto"/>
          <w:sz w:val="24"/>
          <w:szCs w:val="22"/>
          <w:highlight w:val="none"/>
        </w:rPr>
        <w:t>在excel表中计算后复制粘贴进来）</w:t>
      </w:r>
      <w:bookmarkEnd w:id="20"/>
    </w:p>
    <w:bookmarkEnd w:id="3"/>
    <w:bookmarkEnd w:id="21"/>
    <w:p w14:paraId="39A7FEDA">
      <w:pPr>
        <w:pStyle w:val="3"/>
        <w:numPr>
          <w:numId w:val="0"/>
        </w:numPr>
        <w:spacing w:line="360" w:lineRule="auto"/>
        <w:ind w:left="-2" w:leftChars="-2" w:hanging="2" w:hangingChars="1"/>
        <w:rPr>
          <w:color w:val="auto"/>
          <w:highlight w:val="none"/>
        </w:rPr>
      </w:pPr>
      <w:bookmarkStart w:id="22" w:name="_Toc197702702"/>
      <w:bookmarkStart w:id="23" w:name="OLE_LINK3"/>
      <w:bookmarkStart w:id="24" w:name="OLE_LINK2"/>
      <w:r>
        <w:rPr>
          <w:rFonts w:hint="default" w:ascii="Times New Roman" w:hAnsi="Times New Roman" w:eastAsia="黑体" w:cs="Times New Roman"/>
          <w:color w:val="auto"/>
          <w:kern w:val="2"/>
          <w:sz w:val="28"/>
          <w:szCs w:val="24"/>
          <w:lang w:val="en-US" w:eastAsia="zh-CN" w:bidi="ar-SA"/>
        </w:rPr>
        <w:t>十一、</w:t>
      </w:r>
      <w:r>
        <w:rPr>
          <w:color w:val="auto"/>
          <w:highlight w:val="none"/>
        </w:rPr>
        <w:t>实施保障</w:t>
      </w:r>
      <w:bookmarkEnd w:id="22"/>
    </w:p>
    <w:p w14:paraId="084C3AC2">
      <w:pPr>
        <w:pStyle w:val="4"/>
        <w:spacing w:line="360" w:lineRule="auto"/>
        <w:rPr>
          <w:rFonts w:hint="eastAsia"/>
          <w:color w:val="auto"/>
          <w:w w:val="99"/>
          <w:highlight w:val="none"/>
        </w:rPr>
      </w:pPr>
      <w:bookmarkStart w:id="25" w:name="_bookmark14"/>
      <w:bookmarkEnd w:id="25"/>
      <w:bookmarkStart w:id="26" w:name="_Toc197702703"/>
      <w:r>
        <w:rPr>
          <w:color w:val="auto"/>
          <w:highlight w:val="none"/>
        </w:rPr>
        <w:t>（一）师资队伍</w:t>
      </w:r>
      <w:bookmarkEnd w:id="26"/>
    </w:p>
    <w:p w14:paraId="08958D24">
      <w:pPr>
        <w:snapToGrid w:val="0"/>
        <w:spacing w:line="360" w:lineRule="auto"/>
        <w:ind w:firstLine="480" w:firstLineChars="200"/>
        <w:contextualSpacing/>
        <w:rPr>
          <w:color w:val="auto"/>
          <w:sz w:val="24"/>
          <w:highlight w:val="none"/>
        </w:rPr>
      </w:pPr>
      <w:r>
        <w:rPr>
          <w:color w:val="auto"/>
          <w:sz w:val="24"/>
          <w:highlight w:val="none"/>
        </w:rPr>
        <w:t>按照</w:t>
      </w:r>
      <w:r>
        <w:rPr>
          <w:rFonts w:ascii="宋体" w:hAnsi="宋体"/>
          <w:color w:val="auto"/>
          <w:sz w:val="24"/>
          <w:highlight w:val="none"/>
        </w:rPr>
        <w:t>“四有好老师”“四个相统一”“四个引路人”的要求建设专业教师队伍，将师德师风作为教师队伍建设的第一标准</w:t>
      </w:r>
      <w:r>
        <w:rPr>
          <w:color w:val="auto"/>
          <w:sz w:val="24"/>
          <w:highlight w:val="none"/>
        </w:rPr>
        <w:t>。</w:t>
      </w:r>
    </w:p>
    <w:p w14:paraId="6C5461A9">
      <w:pPr>
        <w:snapToGrid w:val="0"/>
        <w:spacing w:line="360" w:lineRule="auto"/>
        <w:ind w:firstLine="482" w:firstLineChars="200"/>
        <w:contextualSpacing/>
        <w:rPr>
          <w:b/>
          <w:bCs/>
          <w:color w:val="auto"/>
          <w:sz w:val="24"/>
          <w:highlight w:val="none"/>
        </w:rPr>
      </w:pPr>
      <w:r>
        <w:rPr>
          <w:b/>
          <w:bCs/>
          <w:color w:val="auto"/>
          <w:sz w:val="24"/>
          <w:highlight w:val="none"/>
        </w:rPr>
        <w:t>1</w:t>
      </w:r>
      <w:r>
        <w:rPr>
          <w:rFonts w:hint="eastAsia"/>
          <w:b/>
          <w:bCs/>
          <w:color w:val="auto"/>
          <w:sz w:val="24"/>
          <w:highlight w:val="none"/>
        </w:rPr>
        <w:t>.</w:t>
      </w:r>
      <w:r>
        <w:rPr>
          <w:b/>
          <w:bCs/>
          <w:color w:val="auto"/>
          <w:sz w:val="24"/>
          <w:highlight w:val="none"/>
        </w:rPr>
        <w:t>队伍结构</w:t>
      </w:r>
    </w:p>
    <w:p w14:paraId="7C338A73">
      <w:pPr>
        <w:snapToGrid w:val="0"/>
        <w:spacing w:line="360" w:lineRule="auto"/>
        <w:ind w:firstLine="480" w:firstLineChars="200"/>
        <w:contextualSpacing/>
        <w:rPr>
          <w:color w:val="auto"/>
          <w:sz w:val="24"/>
          <w:highlight w:val="none"/>
        </w:rPr>
      </w:pPr>
      <w:r>
        <w:rPr>
          <w:color w:val="auto"/>
          <w:sz w:val="24"/>
          <w:highlight w:val="none"/>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color w:val="auto"/>
          <w:sz w:val="24"/>
          <w:highlight w:val="none"/>
        </w:rPr>
      </w:pPr>
      <w:r>
        <w:rPr>
          <w:color w:val="auto"/>
          <w:sz w:val="24"/>
          <w:highlight w:val="none"/>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color w:val="auto"/>
          <w:sz w:val="24"/>
          <w:highlight w:val="none"/>
        </w:rPr>
      </w:pPr>
      <w:r>
        <w:rPr>
          <w:b/>
          <w:bCs/>
          <w:color w:val="auto"/>
          <w:sz w:val="24"/>
          <w:highlight w:val="none"/>
        </w:rPr>
        <w:t>2</w:t>
      </w:r>
      <w:r>
        <w:rPr>
          <w:rFonts w:hint="eastAsia"/>
          <w:b/>
          <w:bCs/>
          <w:color w:val="auto"/>
          <w:sz w:val="24"/>
          <w:highlight w:val="none"/>
        </w:rPr>
        <w:t>.</w:t>
      </w:r>
      <w:r>
        <w:rPr>
          <w:b/>
          <w:bCs/>
          <w:color w:val="auto"/>
          <w:sz w:val="24"/>
          <w:highlight w:val="none"/>
        </w:rPr>
        <w:t>专业带头人</w:t>
      </w:r>
    </w:p>
    <w:p w14:paraId="46192FB9">
      <w:pPr>
        <w:snapToGrid w:val="0"/>
        <w:spacing w:line="360" w:lineRule="auto"/>
        <w:ind w:firstLine="480" w:firstLineChars="200"/>
        <w:contextualSpacing/>
        <w:rPr>
          <w:color w:val="auto"/>
          <w:sz w:val="24"/>
          <w:highlight w:val="none"/>
        </w:rPr>
      </w:pPr>
      <w:r>
        <w:rPr>
          <w:color w:val="auto"/>
          <w:sz w:val="24"/>
          <w:highlight w:val="none"/>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color w:val="auto"/>
          <w:sz w:val="24"/>
          <w:highlight w:val="none"/>
        </w:rPr>
      </w:pPr>
      <w:r>
        <w:rPr>
          <w:b/>
          <w:bCs/>
          <w:color w:val="auto"/>
          <w:sz w:val="24"/>
          <w:highlight w:val="none"/>
        </w:rPr>
        <w:t>3</w:t>
      </w:r>
      <w:r>
        <w:rPr>
          <w:rFonts w:hint="eastAsia"/>
          <w:b/>
          <w:bCs/>
          <w:color w:val="auto"/>
          <w:sz w:val="24"/>
          <w:highlight w:val="none"/>
        </w:rPr>
        <w:t>.</w:t>
      </w:r>
      <w:r>
        <w:rPr>
          <w:b/>
          <w:bCs/>
          <w:color w:val="auto"/>
          <w:sz w:val="24"/>
          <w:highlight w:val="none"/>
        </w:rPr>
        <w:t>专任教师</w:t>
      </w:r>
    </w:p>
    <w:p w14:paraId="6F187625">
      <w:pPr>
        <w:pStyle w:val="7"/>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24"/>
          <w:highlight w:val="none"/>
          <w:lang w:val="en-US" w:eastAsia="zh-CN" w:bidi="ar-SA"/>
        </w:rPr>
        <w:t>具有高校教师资格；原则上具有儿科学、妇幼保健医学、护理学、学前教育、应用心理 学、健康服务与管理等相关专业本科及以上学历；具有一定年限的相应工作经历或者实践经 验，达到相应的技术技能水平；具有本专业理论和实践能力；能够落实课程思政要求，挖掘 专业课程中的思政教育元素和资源；能够运用信息技术开展混合式教学等教法改革；能够跟 踪新经济、新技术发展前沿，开展技术研发与社会服务； 专业教师每年至少 1 个月在机构或 实训基地锻炼，每5年累计不少于6个月的机构实践经历。</w:t>
      </w:r>
    </w:p>
    <w:p w14:paraId="203704CD">
      <w:pPr>
        <w:snapToGrid w:val="0"/>
        <w:spacing w:line="360" w:lineRule="auto"/>
        <w:ind w:firstLine="482" w:firstLineChars="200"/>
        <w:contextualSpacing/>
        <w:rPr>
          <w:b/>
          <w:bCs/>
          <w:color w:val="auto"/>
          <w:sz w:val="24"/>
          <w:highlight w:val="none"/>
        </w:rPr>
      </w:pPr>
      <w:r>
        <w:rPr>
          <w:b/>
          <w:bCs/>
          <w:color w:val="auto"/>
          <w:sz w:val="24"/>
          <w:highlight w:val="none"/>
        </w:rPr>
        <w:t>4兼职教师</w:t>
      </w:r>
    </w:p>
    <w:p w14:paraId="79BFE052">
      <w:pPr>
        <w:snapToGrid w:val="0"/>
        <w:spacing w:line="360" w:lineRule="auto"/>
        <w:ind w:firstLine="480" w:firstLineChars="200"/>
        <w:contextualSpacing/>
        <w:rPr>
          <w:color w:val="auto"/>
          <w:sz w:val="24"/>
          <w:highlight w:val="none"/>
        </w:rPr>
      </w:pPr>
      <w:r>
        <w:rPr>
          <w:color w:val="auto"/>
          <w:sz w:val="24"/>
          <w:highlight w:val="none"/>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color w:val="auto"/>
          <w:sz w:val="24"/>
          <w:highlight w:val="none"/>
        </w:rPr>
        <w:t>学校《兼职教师队伍建设与管理办法》</w:t>
      </w:r>
      <w:r>
        <w:rPr>
          <w:rFonts w:hint="eastAsia" w:ascii="宋体" w:hAnsi="宋体"/>
          <w:color w:val="auto"/>
          <w:sz w:val="24"/>
          <w:highlight w:val="none"/>
        </w:rPr>
        <w:t>，聘请具备丰富的实践经验的行业企业专业人才和能工巧匠担任兼职教师承担专业课程教学任务。</w:t>
      </w:r>
    </w:p>
    <w:p w14:paraId="1E92BA3E">
      <w:pPr>
        <w:pStyle w:val="4"/>
        <w:spacing w:line="360" w:lineRule="auto"/>
        <w:rPr>
          <w:rFonts w:hint="eastAsia"/>
          <w:color w:val="auto"/>
          <w:w w:val="99"/>
          <w:highlight w:val="none"/>
        </w:rPr>
      </w:pPr>
      <w:bookmarkStart w:id="27" w:name="_bookmark15"/>
      <w:bookmarkEnd w:id="27"/>
      <w:bookmarkStart w:id="28" w:name="_Toc197702704"/>
      <w:r>
        <w:rPr>
          <w:color w:val="auto"/>
          <w:highlight w:val="none"/>
        </w:rPr>
        <w:t>（二）教学设施</w:t>
      </w:r>
      <w:bookmarkEnd w:id="28"/>
      <w:r>
        <w:rPr>
          <w:rFonts w:hint="eastAsia"/>
          <w:vanish/>
          <w:color w:val="auto"/>
          <w:highlight w:val="none"/>
        </w:rPr>
        <w:t>（参照教育部标准）</w:t>
      </w:r>
    </w:p>
    <w:p w14:paraId="5F231CA3">
      <w:pPr>
        <w:snapToGrid w:val="0"/>
        <w:spacing w:line="360" w:lineRule="auto"/>
        <w:ind w:firstLine="480" w:firstLineChars="200"/>
        <w:contextualSpacing/>
        <w:rPr>
          <w:color w:val="auto"/>
          <w:sz w:val="24"/>
          <w:highlight w:val="none"/>
        </w:rPr>
      </w:pPr>
      <w:r>
        <w:rPr>
          <w:color w:val="auto"/>
          <w:sz w:val="24"/>
          <w:highlight w:val="none"/>
        </w:rPr>
        <w:t>主要包括能够满足正常的课程教学、实习实训所需的专业教室、实训室和实习实训基地。</w:t>
      </w:r>
    </w:p>
    <w:p w14:paraId="610E8915">
      <w:pPr>
        <w:snapToGrid w:val="0"/>
        <w:spacing w:line="360" w:lineRule="auto"/>
        <w:ind w:firstLine="482" w:firstLineChars="200"/>
        <w:contextualSpacing/>
        <w:rPr>
          <w:b/>
          <w:bCs/>
          <w:color w:val="auto"/>
          <w:sz w:val="24"/>
          <w:highlight w:val="none"/>
        </w:rPr>
      </w:pPr>
      <w:r>
        <w:rPr>
          <w:b/>
          <w:bCs/>
          <w:color w:val="auto"/>
          <w:sz w:val="24"/>
          <w:highlight w:val="none"/>
        </w:rPr>
        <w:t>1.专业教室基本要求</w:t>
      </w:r>
    </w:p>
    <w:p w14:paraId="05ADCBBD">
      <w:pPr>
        <w:snapToGrid w:val="0"/>
        <w:spacing w:line="360" w:lineRule="auto"/>
        <w:ind w:firstLine="480" w:firstLineChars="200"/>
        <w:contextualSpacing/>
        <w:rPr>
          <w:color w:val="auto"/>
          <w:sz w:val="24"/>
          <w:highlight w:val="none"/>
        </w:rPr>
      </w:pPr>
      <w:r>
        <w:rPr>
          <w:color w:val="auto"/>
          <w:sz w:val="24"/>
          <w:highlight w:val="none"/>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color w:val="auto"/>
          <w:sz w:val="24"/>
          <w:highlight w:val="none"/>
        </w:rPr>
      </w:pPr>
      <w:r>
        <w:rPr>
          <w:b/>
          <w:bCs/>
          <w:color w:val="auto"/>
          <w:sz w:val="24"/>
          <w:highlight w:val="none"/>
        </w:rPr>
        <w:t>2.校内外实验、实训场所基本要求</w:t>
      </w:r>
    </w:p>
    <w:p w14:paraId="74357D96">
      <w:pPr>
        <w:pStyle w:val="7"/>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textAlignment w:val="auto"/>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24"/>
          <w:highlight w:val="none"/>
          <w:lang w:val="en-US" w:eastAsia="zh-CN" w:bidi="ar-SA"/>
        </w:rPr>
        <w:t>实验、实训场所面积、设备设施、安全、环境、管理等符合教育部有关标准（规定、办 法），实验、实训环境与设备设施对接真实职业场景或工作情境，实训项目注重工学结合、理 实一体化，实验、实训指导教师配备合理，实验、实训管理及实施规章制度齐全，确保能够顺利开展婴幼儿生活照料、婴幼儿游戏活动实施、婴幼儿卫生保健、</w:t>
      </w:r>
      <w:r>
        <w:rPr>
          <w:rFonts w:hint="eastAsia" w:cs="Times New Roman"/>
          <w:color w:val="auto"/>
          <w:kern w:val="2"/>
          <w:sz w:val="24"/>
          <w:szCs w:val="24"/>
          <w:highlight w:val="none"/>
          <w:lang w:val="en-US" w:eastAsia="zh-CN" w:bidi="ar-SA"/>
        </w:rPr>
        <w:t>婴幼儿早期环境创设、婴幼儿艺术活动指导</w:t>
      </w:r>
      <w:r>
        <w:rPr>
          <w:rFonts w:ascii="Times New Roman" w:hAnsi="Times New Roman" w:eastAsia="宋体" w:cs="Times New Roman"/>
          <w:color w:val="auto"/>
          <w:kern w:val="2"/>
          <w:sz w:val="24"/>
          <w:szCs w:val="24"/>
          <w:highlight w:val="none"/>
          <w:lang w:val="en-US" w:eastAsia="zh-CN" w:bidi="ar-SA"/>
        </w:rPr>
        <w:t>等实训活动。鼓励在实训中运用大数据、云计算、人工智能、虚拟仿真等前沿信息技术。</w:t>
      </w:r>
    </w:p>
    <w:p w14:paraId="5E2C6517">
      <w:pPr>
        <w:pStyle w:val="7"/>
        <w:spacing w:before="30" w:line="220" w:lineRule="auto"/>
        <w:ind w:left="332"/>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24"/>
          <w:highlight w:val="none"/>
          <w:lang w:val="en-US" w:eastAsia="zh-CN" w:bidi="ar-SA"/>
        </w:rPr>
        <w:t>（1）婴幼儿生活照料实训室</w:t>
      </w:r>
    </w:p>
    <w:p w14:paraId="76B82ED8">
      <w:pPr>
        <w:pStyle w:val="7"/>
        <w:keepNext w:val="0"/>
        <w:keepLines w:val="0"/>
        <w:pageBreakBefore w:val="0"/>
        <w:widowControl w:val="0"/>
        <w:kinsoku/>
        <w:wordWrap/>
        <w:overflowPunct/>
        <w:topLinePunct w:val="0"/>
        <w:autoSpaceDE/>
        <w:autoSpaceDN/>
        <w:bidi w:val="0"/>
        <w:adjustRightInd/>
        <w:snapToGrid/>
        <w:spacing w:after="0" w:line="360" w:lineRule="auto"/>
        <w:ind w:left="0" w:right="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配备婴幼儿模型、婴幼儿服饰、膳食宝塔、食物模型，以及婴幼儿饮食、睡眠、盥洗、如厕、出行等所需设施设备与用品材料等，用于婴幼儿膳食搭配、营养成分计算、喂养、拍嗝、哄睡、盥洗、“三浴”锻炼、抚触与被动操、服饰与尿布更换、大小便清理、户外出行、有效互动以及托育机构生活环境创设、风险排查等实训教学。</w:t>
      </w:r>
    </w:p>
    <w:p w14:paraId="6B802D2C">
      <w:pPr>
        <w:pStyle w:val="7"/>
        <w:keepNext w:val="0"/>
        <w:keepLines w:val="0"/>
        <w:pageBreakBefore w:val="0"/>
        <w:widowControl w:val="0"/>
        <w:numPr>
          <w:ilvl w:val="0"/>
          <w:numId w:val="8"/>
        </w:numPr>
        <w:kinsoku/>
        <w:wordWrap/>
        <w:overflowPunct/>
        <w:topLinePunct w:val="0"/>
        <w:autoSpaceDE/>
        <w:autoSpaceDN/>
        <w:bidi w:val="0"/>
        <w:adjustRightInd/>
        <w:snapToGrid/>
        <w:spacing w:after="0" w:line="360" w:lineRule="auto"/>
        <w:ind w:left="0" w:firstLine="464" w:firstLineChars="200"/>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pacing w:val="-4"/>
          <w:sz w:val="24"/>
          <w:szCs w:val="24"/>
          <w:highlight w:val="none"/>
          <w:lang w:val="en-US" w:eastAsia="zh-CN"/>
        </w:rPr>
        <w:t>婴幼儿环境创设实训室</w:t>
      </w:r>
    </w:p>
    <w:p w14:paraId="22CCBC60">
      <w:pPr>
        <w:pStyle w:val="7"/>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64" w:firstLineChars="200"/>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pacing w:val="-4"/>
          <w:sz w:val="24"/>
          <w:szCs w:val="24"/>
          <w:highlight w:val="none"/>
          <w:lang w:val="en-US" w:eastAsia="zh-CN"/>
        </w:rPr>
        <w:t xml:space="preserve">   </w:t>
      </w:r>
      <w:r>
        <w:rPr>
          <w:rFonts w:hint="eastAsia" w:ascii="宋体" w:hAnsi="宋体" w:eastAsia="宋体" w:cs="宋体"/>
          <w:i w:val="0"/>
          <w:iCs w:val="0"/>
          <w:caps w:val="0"/>
          <w:color w:val="404040"/>
          <w:spacing w:val="0"/>
          <w:sz w:val="24"/>
          <w:szCs w:val="24"/>
          <w:shd w:val="clear" w:fill="FFFFFF"/>
        </w:rPr>
        <w:t>该实训室主要承担婴幼儿活动空间规划、安全环境设计、教玩具配置与主题环创等课程教学，培养学生科学创设适龄、安全、益智的婴幼儿成长环境的能力。室内配置多样化教玩具陈列柜、环创材料工作台及多媒体设计设备，并配备环保装饰材料样本库。</w:t>
      </w:r>
    </w:p>
    <w:p w14:paraId="047972D3">
      <w:pPr>
        <w:pStyle w:val="7"/>
        <w:keepNext w:val="0"/>
        <w:keepLines w:val="0"/>
        <w:pageBreakBefore w:val="0"/>
        <w:widowControl w:val="0"/>
        <w:numPr>
          <w:ilvl w:val="0"/>
          <w:numId w:val="8"/>
        </w:numPr>
        <w:kinsoku/>
        <w:wordWrap/>
        <w:overflowPunct/>
        <w:topLinePunct w:val="0"/>
        <w:autoSpaceDE/>
        <w:autoSpaceDN/>
        <w:bidi w:val="0"/>
        <w:adjustRightInd/>
        <w:snapToGrid/>
        <w:spacing w:after="0" w:line="360" w:lineRule="auto"/>
        <w:ind w:left="0" w:firstLine="464" w:firstLineChars="200"/>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pacing w:val="-4"/>
          <w:sz w:val="24"/>
          <w:szCs w:val="24"/>
          <w:highlight w:val="none"/>
          <w:lang w:val="en-US" w:eastAsia="zh-CN"/>
        </w:rPr>
        <w:t>舞蹈教室</w:t>
      </w:r>
    </w:p>
    <w:p w14:paraId="05714FD9">
      <w:pPr>
        <w:pStyle w:val="7"/>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720" w:firstLineChars="300"/>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i w:val="0"/>
          <w:iCs w:val="0"/>
          <w:caps w:val="0"/>
          <w:color w:val="404040"/>
          <w:spacing w:val="0"/>
          <w:sz w:val="24"/>
          <w:szCs w:val="24"/>
          <w:shd w:val="clear" w:fill="FFFFFF"/>
        </w:rPr>
        <w:t>该实训室主要承担婴幼儿舞蹈启蒙、韵律活动、亲子舞蹈编排等课程教学，培养学生幼儿肢体协调训练及创意舞蹈教学能力。室内配置专业舞蹈地</w:t>
      </w:r>
      <w:r>
        <w:rPr>
          <w:rFonts w:hint="eastAsia" w:ascii="宋体" w:hAnsi="宋体" w:eastAsia="宋体" w:cs="宋体"/>
          <w:i w:val="0"/>
          <w:iCs w:val="0"/>
          <w:caps w:val="0"/>
          <w:color w:val="404040"/>
          <w:spacing w:val="0"/>
          <w:sz w:val="24"/>
          <w:szCs w:val="24"/>
          <w:shd w:val="clear" w:fill="FFFFFF"/>
          <w:lang w:val="en-US" w:eastAsia="zh-CN"/>
        </w:rPr>
        <w:t>板</w:t>
      </w:r>
      <w:r>
        <w:rPr>
          <w:rFonts w:hint="eastAsia" w:ascii="宋体" w:hAnsi="宋体" w:eastAsia="宋体" w:cs="宋体"/>
          <w:i w:val="0"/>
          <w:iCs w:val="0"/>
          <w:caps w:val="0"/>
          <w:color w:val="404040"/>
          <w:spacing w:val="0"/>
          <w:sz w:val="24"/>
          <w:szCs w:val="24"/>
          <w:shd w:val="clear" w:fill="FFFFFF"/>
        </w:rPr>
        <w:t>、全身镜墙、音响系统、多媒体教学设备及各类幼儿舞蹈教具。</w:t>
      </w:r>
    </w:p>
    <w:p w14:paraId="7206839C">
      <w:pPr>
        <w:pStyle w:val="7"/>
        <w:keepNext w:val="0"/>
        <w:keepLines w:val="0"/>
        <w:pageBreakBefore w:val="0"/>
        <w:widowControl w:val="0"/>
        <w:numPr>
          <w:ilvl w:val="0"/>
          <w:numId w:val="8"/>
        </w:numPr>
        <w:kinsoku/>
        <w:wordWrap/>
        <w:overflowPunct/>
        <w:topLinePunct w:val="0"/>
        <w:autoSpaceDE/>
        <w:autoSpaceDN/>
        <w:bidi w:val="0"/>
        <w:adjustRightInd/>
        <w:snapToGrid/>
        <w:spacing w:after="0" w:line="360" w:lineRule="auto"/>
        <w:ind w:left="0" w:firstLine="480" w:firstLineChars="200"/>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z w:val="24"/>
          <w:szCs w:val="24"/>
          <w:highlight w:val="none"/>
          <w:lang w:eastAsia="zh-CN"/>
        </w:rPr>
        <w:t>声乐及音乐欣赏</w:t>
      </w:r>
      <w:r>
        <w:rPr>
          <w:rFonts w:hint="eastAsia" w:ascii="宋体" w:hAnsi="宋体" w:eastAsia="宋体" w:cs="宋体"/>
          <w:color w:val="auto"/>
          <w:sz w:val="24"/>
          <w:szCs w:val="24"/>
          <w:highlight w:val="none"/>
        </w:rPr>
        <w:t>实训室</w:t>
      </w:r>
    </w:p>
    <w:p w14:paraId="4204DC3A">
      <w:pPr>
        <w:pStyle w:val="7"/>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720" w:firstLineChars="300"/>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i w:val="0"/>
          <w:iCs w:val="0"/>
          <w:caps w:val="0"/>
          <w:color w:val="404040"/>
          <w:spacing w:val="0"/>
          <w:sz w:val="24"/>
          <w:szCs w:val="24"/>
          <w:shd w:val="clear" w:fill="FFFFFF"/>
        </w:rPr>
        <w:t>该实训室主要承担婴幼儿声乐训练、儿歌演唱、音乐欣赏与节奏感培养等课程，提升学生幼儿音乐教学及艺术审美能力。室内配备专业音响系统、多媒体播放设备、电子钢琴、奥尔夫打击乐器及儿童合唱台，便于音乐游戏与情境教学。</w:t>
      </w:r>
    </w:p>
    <w:p w14:paraId="6190D3F7">
      <w:pPr>
        <w:pStyle w:val="7"/>
        <w:keepNext w:val="0"/>
        <w:keepLines w:val="0"/>
        <w:pageBreakBefore w:val="0"/>
        <w:widowControl w:val="0"/>
        <w:numPr>
          <w:ilvl w:val="0"/>
          <w:numId w:val="8"/>
        </w:numPr>
        <w:kinsoku/>
        <w:wordWrap/>
        <w:overflowPunct/>
        <w:topLinePunct w:val="0"/>
        <w:autoSpaceDE/>
        <w:autoSpaceDN/>
        <w:bidi w:val="0"/>
        <w:adjustRightInd/>
        <w:snapToGrid/>
        <w:spacing w:after="0" w:line="360" w:lineRule="auto"/>
        <w:ind w:left="0" w:firstLine="480" w:firstLineChars="200"/>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z w:val="24"/>
          <w:szCs w:val="24"/>
          <w:highlight w:val="none"/>
        </w:rPr>
        <w:t>钢琴实训室</w:t>
      </w:r>
    </w:p>
    <w:p w14:paraId="67889B4A">
      <w:pPr>
        <w:pStyle w:val="7"/>
        <w:keepNext w:val="0"/>
        <w:keepLines w:val="0"/>
        <w:pageBreakBefore w:val="0"/>
        <w:widowControl w:val="0"/>
        <w:kinsoku/>
        <w:wordWrap/>
        <w:overflowPunct/>
        <w:topLinePunct w:val="0"/>
        <w:autoSpaceDE/>
        <w:autoSpaceDN/>
        <w:bidi w:val="0"/>
        <w:adjustRightInd/>
        <w:snapToGrid/>
        <w:spacing w:after="0" w:line="360" w:lineRule="auto"/>
        <w:ind w:right="0" w:firstLine="480" w:firstLineChars="200"/>
        <w:jc w:val="both"/>
        <w:textAlignment w:val="auto"/>
        <w:rPr>
          <w:rFonts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i w:val="0"/>
          <w:iCs w:val="0"/>
          <w:caps w:val="0"/>
          <w:color w:val="404040"/>
          <w:spacing w:val="0"/>
          <w:sz w:val="24"/>
          <w:szCs w:val="24"/>
          <w:shd w:val="clear" w:fill="FFFFFF"/>
        </w:rPr>
        <w:t>该实训室主要承担婴幼儿音乐启蒙、钢琴基础技能、儿歌弹唱等课程教学，培养学生幼儿音乐教学及即兴伴奏能力。室内配置</w:t>
      </w:r>
      <w:r>
        <w:rPr>
          <w:rFonts w:hint="eastAsia" w:ascii="宋体" w:hAnsi="宋体" w:eastAsia="宋体" w:cs="宋体"/>
          <w:i w:val="0"/>
          <w:iCs w:val="0"/>
          <w:caps w:val="0"/>
          <w:color w:val="404040"/>
          <w:spacing w:val="0"/>
          <w:sz w:val="24"/>
          <w:szCs w:val="24"/>
          <w:shd w:val="clear" w:fill="FFFFFF"/>
          <w:lang w:val="en-US" w:eastAsia="zh-CN"/>
        </w:rPr>
        <w:t>电子</w:t>
      </w:r>
      <w:r>
        <w:rPr>
          <w:rFonts w:hint="eastAsia" w:ascii="宋体" w:hAnsi="宋体" w:eastAsia="宋体" w:cs="宋体"/>
          <w:i w:val="0"/>
          <w:iCs w:val="0"/>
          <w:caps w:val="0"/>
          <w:color w:val="404040"/>
          <w:spacing w:val="0"/>
          <w:sz w:val="24"/>
          <w:szCs w:val="24"/>
          <w:shd w:val="clear" w:fill="FFFFFF"/>
        </w:rPr>
        <w:t>钢琴</w:t>
      </w:r>
      <w:r>
        <w:rPr>
          <w:rFonts w:hint="eastAsia" w:ascii="宋体" w:hAnsi="宋体" w:eastAsia="宋体" w:cs="宋体"/>
          <w:i w:val="0"/>
          <w:iCs w:val="0"/>
          <w:caps w:val="0"/>
          <w:color w:val="404040"/>
          <w:spacing w:val="0"/>
          <w:sz w:val="24"/>
          <w:szCs w:val="24"/>
          <w:shd w:val="clear" w:fill="FFFFFF"/>
          <w:lang w:val="en-US" w:eastAsia="zh-CN"/>
        </w:rPr>
        <w:t>40</w:t>
      </w:r>
      <w:r>
        <w:rPr>
          <w:rFonts w:hint="eastAsia" w:ascii="宋体" w:hAnsi="宋体" w:eastAsia="宋体" w:cs="宋体"/>
          <w:i w:val="0"/>
          <w:iCs w:val="0"/>
          <w:caps w:val="0"/>
          <w:color w:val="404040"/>
          <w:spacing w:val="0"/>
          <w:sz w:val="24"/>
          <w:szCs w:val="24"/>
          <w:shd w:val="clear" w:fill="FFFFFF"/>
        </w:rPr>
        <w:t>台、多媒体教学设备及互动白板，并配备儿童音乐教具（打击乐器、音阶模型等），满足小组实训与个性化指导需求。环境设计融入童趣元素，营造安全温馨的学习氛围</w:t>
      </w:r>
      <w:r>
        <w:rPr>
          <w:rFonts w:ascii="Segoe UI" w:hAnsi="Segoe UI" w:eastAsia="Segoe UI" w:cs="Segoe UI"/>
          <w:i w:val="0"/>
          <w:iCs w:val="0"/>
          <w:caps w:val="0"/>
          <w:color w:val="404040"/>
          <w:spacing w:val="0"/>
          <w:sz w:val="12"/>
          <w:szCs w:val="12"/>
          <w:shd w:val="clear" w:fill="FFFFFF"/>
        </w:rPr>
        <w:t>。</w:t>
      </w:r>
    </w:p>
    <w:p w14:paraId="406B6D15">
      <w:pPr>
        <w:snapToGrid w:val="0"/>
        <w:spacing w:line="360" w:lineRule="auto"/>
        <w:ind w:firstLine="482" w:firstLineChars="200"/>
        <w:contextualSpacing/>
        <w:rPr>
          <w:b/>
          <w:bCs/>
          <w:color w:val="auto"/>
          <w:sz w:val="24"/>
          <w:highlight w:val="none"/>
        </w:rPr>
      </w:pPr>
      <w:r>
        <w:rPr>
          <w:b/>
          <w:bCs/>
          <w:color w:val="auto"/>
          <w:sz w:val="24"/>
          <w:highlight w:val="none"/>
        </w:rPr>
        <w:t>3</w:t>
      </w:r>
      <w:r>
        <w:rPr>
          <w:rFonts w:hint="eastAsia"/>
          <w:b/>
          <w:bCs/>
          <w:color w:val="auto"/>
          <w:sz w:val="24"/>
          <w:highlight w:val="none"/>
        </w:rPr>
        <w:t>.</w:t>
      </w:r>
      <w:r>
        <w:rPr>
          <w:b/>
          <w:bCs/>
          <w:color w:val="auto"/>
          <w:sz w:val="24"/>
          <w:highlight w:val="none"/>
        </w:rPr>
        <w:t>实习场所基本要求</w:t>
      </w:r>
    </w:p>
    <w:p w14:paraId="74449026">
      <w:pPr>
        <w:snapToGrid w:val="0"/>
        <w:spacing w:line="360" w:lineRule="auto"/>
        <w:ind w:firstLine="480" w:firstLineChars="200"/>
        <w:contextualSpacing/>
        <w:rPr>
          <w:color w:val="auto"/>
          <w:sz w:val="24"/>
          <w:highlight w:val="none"/>
        </w:rPr>
      </w:pPr>
      <w:r>
        <w:rPr>
          <w:color w:val="auto"/>
          <w:sz w:val="24"/>
          <w:highlight w:val="none"/>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pPr>
        <w:pStyle w:val="4"/>
        <w:spacing w:line="360" w:lineRule="auto"/>
        <w:rPr>
          <w:rFonts w:hint="eastAsia"/>
          <w:color w:val="auto"/>
          <w:highlight w:val="none"/>
        </w:rPr>
      </w:pPr>
      <w:bookmarkStart w:id="29" w:name="_bookmark16"/>
      <w:bookmarkEnd w:id="29"/>
      <w:bookmarkStart w:id="30" w:name="_Toc197702705"/>
      <w:r>
        <w:rPr>
          <w:color w:val="auto"/>
          <w:highlight w:val="none"/>
        </w:rPr>
        <w:t>（三）教学资源</w:t>
      </w:r>
      <w:bookmarkEnd w:id="30"/>
    </w:p>
    <w:p w14:paraId="6BF205D7">
      <w:pPr>
        <w:snapToGrid w:val="0"/>
        <w:spacing w:line="360" w:lineRule="auto"/>
        <w:ind w:firstLine="480" w:firstLineChars="200"/>
        <w:contextualSpacing/>
        <w:rPr>
          <w:color w:val="auto"/>
          <w:sz w:val="24"/>
          <w:highlight w:val="none"/>
        </w:rPr>
      </w:pPr>
      <w:r>
        <w:rPr>
          <w:color w:val="auto"/>
          <w:sz w:val="24"/>
          <w:highlight w:val="none"/>
        </w:rPr>
        <w:t>主要包括能够满足学生专业学习、教师专业教学研究和教学实施需要的教材、图书及数字化资源等。</w:t>
      </w:r>
    </w:p>
    <w:p w14:paraId="3ED704E3">
      <w:pPr>
        <w:keepNext w:val="0"/>
        <w:keepLines w:val="0"/>
        <w:pageBreakBefore w:val="0"/>
        <w:widowControl w:val="0"/>
        <w:kinsoku/>
        <w:wordWrap/>
        <w:overflowPunct/>
        <w:topLinePunct w:val="0"/>
        <w:autoSpaceDE/>
        <w:autoSpaceDN/>
        <w:bidi w:val="0"/>
        <w:adjustRightInd/>
        <w:snapToGrid w:val="0"/>
        <w:spacing w:line="360" w:lineRule="auto"/>
        <w:ind w:right="0" w:firstLine="482" w:firstLineChars="200"/>
        <w:contextualSpacing/>
        <w:textAlignment w:val="auto"/>
        <w:rPr>
          <w:rFonts w:hint="eastAsia" w:ascii="宋体" w:hAnsi="宋体" w:eastAsia="宋体" w:cs="宋体"/>
          <w:b/>
          <w:bCs/>
          <w:color w:val="auto"/>
          <w:sz w:val="24"/>
          <w:szCs w:val="24"/>
          <w:highlight w:val="none"/>
        </w:rPr>
      </w:pPr>
      <w:bookmarkStart w:id="32" w:name="_GoBack"/>
      <w:r>
        <w:rPr>
          <w:rFonts w:hint="eastAsia" w:ascii="宋体" w:hAnsi="宋体" w:eastAsia="宋体" w:cs="宋体"/>
          <w:b/>
          <w:bCs/>
          <w:color w:val="auto"/>
          <w:sz w:val="24"/>
          <w:szCs w:val="24"/>
          <w:highlight w:val="none"/>
        </w:rPr>
        <w:t>1.教材选用基本要求</w:t>
      </w:r>
    </w:p>
    <w:p w14:paraId="59E35500">
      <w:pPr>
        <w:keepNext w:val="0"/>
        <w:keepLines w:val="0"/>
        <w:pageBreakBefore w:val="0"/>
        <w:widowControl w:val="0"/>
        <w:kinsoku/>
        <w:wordWrap/>
        <w:overflowPunct/>
        <w:topLinePunct w:val="0"/>
        <w:autoSpaceDE/>
        <w:autoSpaceDN/>
        <w:bidi w:val="0"/>
        <w:adjustRightInd/>
        <w:snapToGrid w:val="0"/>
        <w:spacing w:line="360" w:lineRule="auto"/>
        <w:ind w:right="0"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keepNext w:val="0"/>
        <w:keepLines w:val="0"/>
        <w:pageBreakBefore w:val="0"/>
        <w:widowControl w:val="0"/>
        <w:kinsoku/>
        <w:wordWrap/>
        <w:overflowPunct/>
        <w:topLinePunct w:val="0"/>
        <w:autoSpaceDE/>
        <w:autoSpaceDN/>
        <w:bidi w:val="0"/>
        <w:adjustRightInd/>
        <w:snapToGrid w:val="0"/>
        <w:spacing w:line="360" w:lineRule="auto"/>
        <w:ind w:right="0" w:firstLine="482" w:firstLineChars="200"/>
        <w:contextualSpacing/>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2.图书文献配备基本要求</w:t>
      </w:r>
    </w:p>
    <w:p w14:paraId="249AE7CA">
      <w:pPr>
        <w:pStyle w:val="7"/>
        <w:keepNext w:val="0"/>
        <w:keepLines w:val="0"/>
        <w:pageBreakBefore w:val="0"/>
        <w:widowControl w:val="0"/>
        <w:kinsoku/>
        <w:wordWrap/>
        <w:overflowPunct/>
        <w:topLinePunct w:val="0"/>
        <w:autoSpaceDE/>
        <w:autoSpaceDN/>
        <w:bidi w:val="0"/>
        <w:adjustRightInd/>
        <w:spacing w:after="0" w:line="360" w:lineRule="auto"/>
        <w:ind w:right="0"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图书文献配备能满足人才培养、专业建设、教科研等工作的需要。</w:t>
      </w:r>
      <w:r>
        <w:rPr>
          <w:rFonts w:hint="eastAsia" w:ascii="宋体" w:hAnsi="宋体" w:eastAsia="宋体" w:cs="宋体"/>
          <w:color w:val="auto"/>
          <w:spacing w:val="6"/>
          <w:sz w:val="24"/>
          <w:szCs w:val="24"/>
          <w:highlight w:val="none"/>
        </w:rPr>
        <w:t>专业类图书文献主要</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包括：托育服务行业政策法规、托育服务行业标准、婴幼儿发展、婴幼儿回应性照料、婴幼</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7"/>
          <w:sz w:val="24"/>
          <w:szCs w:val="24"/>
          <w:highlight w:val="none"/>
        </w:rPr>
        <w:t>儿卫生保健、婴幼儿健康管理、婴幼儿急救、智慧托育与从业者信息素养等。及时配置新经</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5"/>
          <w:sz w:val="24"/>
          <w:szCs w:val="24"/>
          <w:highlight w:val="none"/>
        </w:rPr>
        <w:t>济、新技术、新工艺、新材料、新管理方式、新服务方式等相关的图书</w:t>
      </w:r>
      <w:r>
        <w:rPr>
          <w:rFonts w:hint="eastAsia" w:ascii="宋体" w:hAnsi="宋体" w:eastAsia="宋体" w:cs="宋体"/>
          <w:color w:val="auto"/>
          <w:spacing w:val="4"/>
          <w:sz w:val="24"/>
          <w:szCs w:val="24"/>
          <w:highlight w:val="none"/>
        </w:rPr>
        <w:t>文献。</w:t>
      </w:r>
    </w:p>
    <w:p w14:paraId="24F00E6D">
      <w:pPr>
        <w:keepNext w:val="0"/>
        <w:keepLines w:val="0"/>
        <w:pageBreakBefore w:val="0"/>
        <w:widowControl w:val="0"/>
        <w:kinsoku/>
        <w:wordWrap/>
        <w:overflowPunct/>
        <w:topLinePunct w:val="0"/>
        <w:autoSpaceDE/>
        <w:autoSpaceDN/>
        <w:bidi w:val="0"/>
        <w:adjustRightInd/>
        <w:snapToGrid w:val="0"/>
        <w:spacing w:line="360" w:lineRule="auto"/>
        <w:ind w:right="0" w:firstLine="482" w:firstLineChars="200"/>
        <w:contextualSpacing/>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3.数字教学资源配置基本要求</w:t>
      </w:r>
    </w:p>
    <w:p w14:paraId="2866372A">
      <w:pPr>
        <w:keepNext w:val="0"/>
        <w:keepLines w:val="0"/>
        <w:pageBreakBefore w:val="0"/>
        <w:widowControl w:val="0"/>
        <w:kinsoku/>
        <w:wordWrap/>
        <w:overflowPunct/>
        <w:topLinePunct w:val="0"/>
        <w:autoSpaceDE/>
        <w:autoSpaceDN/>
        <w:bidi w:val="0"/>
        <w:adjustRightInd/>
        <w:snapToGrid w:val="0"/>
        <w:spacing w:line="360" w:lineRule="auto"/>
        <w:ind w:right="0"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配备与本专业有关的音视频素材、教学课件、数字化教学案例库、虚拟仿真软件等专业教学资源库，充分应用公共职教云平台、国家资源库、智慧职教、中国大学慕课等在线课程平台，要求种类丰富、形式多样、使用便捷、动态更新、满足教学。</w:t>
      </w:r>
    </w:p>
    <w:bookmarkEnd w:id="32"/>
    <w:p w14:paraId="745F13FE">
      <w:pPr>
        <w:pStyle w:val="3"/>
        <w:numPr>
          <w:numId w:val="0"/>
        </w:numPr>
        <w:spacing w:line="360" w:lineRule="auto"/>
        <w:ind w:left="-2" w:leftChars="-2" w:hanging="2" w:hangingChars="1"/>
        <w:rPr>
          <w:color w:val="auto"/>
          <w:highlight w:val="none"/>
        </w:rPr>
      </w:pPr>
      <w:bookmarkStart w:id="31" w:name="_Toc197702706"/>
      <w:r>
        <w:rPr>
          <w:rFonts w:hint="default" w:ascii="Times New Roman" w:hAnsi="Times New Roman" w:eastAsia="黑体" w:cs="Times New Roman"/>
          <w:color w:val="auto"/>
          <w:kern w:val="2"/>
          <w:sz w:val="28"/>
          <w:szCs w:val="24"/>
          <w:lang w:val="en-US" w:eastAsia="zh-CN" w:bidi="ar-SA"/>
        </w:rPr>
        <w:t>十二、</w:t>
      </w:r>
      <w:r>
        <w:rPr>
          <w:color w:val="auto"/>
          <w:highlight w:val="none"/>
        </w:rPr>
        <w:t>质量保障和毕业要求</w:t>
      </w:r>
      <w:bookmarkEnd w:id="31"/>
    </w:p>
    <w:p w14:paraId="7E8EF5A3">
      <w:pPr>
        <w:snapToGrid w:val="0"/>
        <w:spacing w:line="360" w:lineRule="auto"/>
        <w:ind w:firstLine="482" w:firstLineChars="200"/>
        <w:contextualSpacing/>
        <w:rPr>
          <w:b/>
          <w:bCs/>
          <w:color w:val="auto"/>
          <w:sz w:val="24"/>
          <w:highlight w:val="none"/>
        </w:rPr>
      </w:pPr>
      <w:r>
        <w:rPr>
          <w:b/>
          <w:bCs/>
          <w:color w:val="auto"/>
          <w:sz w:val="24"/>
          <w:highlight w:val="none"/>
        </w:rPr>
        <w:t>1</w:t>
      </w:r>
      <w:r>
        <w:rPr>
          <w:rFonts w:hint="eastAsia"/>
          <w:b/>
          <w:bCs/>
          <w:color w:val="auto"/>
          <w:sz w:val="24"/>
          <w:highlight w:val="none"/>
        </w:rPr>
        <w:t>.</w:t>
      </w:r>
      <w:r>
        <w:rPr>
          <w:b/>
          <w:bCs/>
          <w:color w:val="auto"/>
          <w:sz w:val="24"/>
          <w:highlight w:val="none"/>
        </w:rPr>
        <w:t>质量保障</w:t>
      </w:r>
    </w:p>
    <w:p w14:paraId="4D726846">
      <w:pPr>
        <w:snapToGrid w:val="0"/>
        <w:spacing w:line="360" w:lineRule="auto"/>
        <w:ind w:firstLine="480" w:firstLineChars="200"/>
        <w:contextualSpacing/>
        <w:rPr>
          <w:color w:val="auto"/>
          <w:sz w:val="24"/>
          <w:highlight w:val="none"/>
        </w:rPr>
      </w:pPr>
      <w:r>
        <w:rPr>
          <w:color w:val="auto"/>
          <w:sz w:val="24"/>
          <w:highlight w:val="none"/>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color w:val="auto"/>
          <w:sz w:val="24"/>
          <w:highlight w:val="none"/>
        </w:rPr>
      </w:pPr>
      <w:r>
        <w:rPr>
          <w:color w:val="auto"/>
          <w:sz w:val="24"/>
          <w:highlight w:val="none"/>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color w:val="auto"/>
          <w:sz w:val="24"/>
          <w:highlight w:val="none"/>
        </w:rPr>
      </w:pPr>
      <w:r>
        <w:rPr>
          <w:color w:val="auto"/>
          <w:sz w:val="24"/>
          <w:highlight w:val="none"/>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color w:val="auto"/>
          <w:sz w:val="24"/>
          <w:highlight w:val="none"/>
        </w:rPr>
      </w:pPr>
      <w:r>
        <w:rPr>
          <w:color w:val="auto"/>
          <w:sz w:val="24"/>
          <w:highlight w:val="none"/>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color w:val="auto"/>
          <w:sz w:val="24"/>
          <w:highlight w:val="none"/>
        </w:rPr>
      </w:pPr>
      <w:r>
        <w:rPr>
          <w:b/>
          <w:bCs/>
          <w:color w:val="auto"/>
          <w:sz w:val="24"/>
          <w:highlight w:val="none"/>
        </w:rPr>
        <w:t>2</w:t>
      </w:r>
      <w:r>
        <w:rPr>
          <w:rFonts w:hint="eastAsia"/>
          <w:b/>
          <w:bCs/>
          <w:color w:val="auto"/>
          <w:sz w:val="24"/>
          <w:highlight w:val="none"/>
        </w:rPr>
        <w:t>.</w:t>
      </w:r>
      <w:r>
        <w:rPr>
          <w:b/>
          <w:bCs/>
          <w:color w:val="auto"/>
          <w:sz w:val="24"/>
          <w:highlight w:val="none"/>
        </w:rPr>
        <w:t>毕业要求</w:t>
      </w:r>
    </w:p>
    <w:p w14:paraId="26FC2B1B">
      <w:pPr>
        <w:snapToGrid w:val="0"/>
        <w:spacing w:line="360" w:lineRule="auto"/>
        <w:ind w:firstLine="480" w:firstLineChars="200"/>
        <w:contextualSpacing/>
        <w:rPr>
          <w:color w:val="auto"/>
          <w:sz w:val="24"/>
          <w:highlight w:val="none"/>
        </w:rPr>
      </w:pPr>
      <w:r>
        <w:rPr>
          <w:color w:val="auto"/>
          <w:sz w:val="24"/>
          <w:highlight w:val="none"/>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color w:val="auto"/>
          <w:sz w:val="24"/>
          <w:highlight w:val="none"/>
        </w:rPr>
      </w:pPr>
      <w:r>
        <w:rPr>
          <w:color w:val="auto"/>
          <w:sz w:val="24"/>
          <w:highlight w:val="none"/>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color w:val="auto"/>
          <w:sz w:val="24"/>
          <w:highlight w:val="none"/>
        </w:rPr>
      </w:pPr>
      <w:r>
        <w:rPr>
          <w:color w:val="auto"/>
          <w:sz w:val="24"/>
          <w:highlight w:val="none"/>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color w:val="auto"/>
          <w:sz w:val="24"/>
          <w:highlight w:val="none"/>
        </w:rPr>
      </w:pPr>
    </w:p>
    <w:p w14:paraId="64BC14A9">
      <w:pPr>
        <w:snapToGrid w:val="0"/>
        <w:spacing w:line="360" w:lineRule="auto"/>
        <w:ind w:firstLine="480" w:firstLineChars="200"/>
        <w:contextualSpacing/>
        <w:jc w:val="right"/>
        <w:rPr>
          <w:color w:val="auto"/>
          <w:sz w:val="24"/>
          <w:highlight w:val="none"/>
        </w:rPr>
      </w:pPr>
      <w:r>
        <w:rPr>
          <w:color w:val="auto"/>
          <w:sz w:val="24"/>
          <w:highlight w:val="none"/>
        </w:rPr>
        <w:fldChar w:fldCharType="begin"/>
      </w:r>
      <w:r>
        <w:rPr>
          <w:color w:val="auto"/>
          <w:sz w:val="24"/>
          <w:highlight w:val="none"/>
        </w:rPr>
        <w:instrText xml:space="preserve"> </w:instrText>
      </w:r>
      <w:r>
        <w:rPr>
          <w:rFonts w:hint="eastAsia"/>
          <w:color w:val="auto"/>
          <w:sz w:val="24"/>
          <w:highlight w:val="none"/>
        </w:rPr>
        <w:instrText xml:space="preserve">TIME \@ "yyyy年M月"</w:instrText>
      </w:r>
      <w:r>
        <w:rPr>
          <w:color w:val="auto"/>
          <w:sz w:val="24"/>
          <w:highlight w:val="none"/>
        </w:rPr>
        <w:instrText xml:space="preserve"> </w:instrText>
      </w:r>
      <w:r>
        <w:rPr>
          <w:color w:val="auto"/>
          <w:sz w:val="24"/>
          <w:highlight w:val="none"/>
        </w:rPr>
        <w:fldChar w:fldCharType="separate"/>
      </w:r>
      <w:r>
        <w:rPr>
          <w:rFonts w:hint="eastAsia"/>
          <w:color w:val="auto"/>
          <w:sz w:val="24"/>
          <w:highlight w:val="none"/>
        </w:rPr>
        <w:t>2025年5月</w:t>
      </w:r>
      <w:r>
        <w:rPr>
          <w:color w:val="auto"/>
          <w:sz w:val="24"/>
          <w:highlight w:val="none"/>
        </w:rPr>
        <w:fldChar w:fldCharType="end"/>
      </w:r>
      <w:bookmarkEnd w:id="23"/>
      <w:bookmarkEnd w:id="24"/>
    </w:p>
    <w:sectPr>
      <w:footerReference r:id="rId5" w:type="default"/>
      <w:pgSz w:w="11906" w:h="16838"/>
      <w:pgMar w:top="1134"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2E6860"/>
    <w:multiLevelType w:val="singleLevel"/>
    <w:tmpl w:val="B02E6860"/>
    <w:lvl w:ilvl="0" w:tentative="0">
      <w:start w:val="2"/>
      <w:numFmt w:val="decimal"/>
      <w:suff w:val="nothing"/>
      <w:lvlText w:val="（%1）"/>
      <w:lvlJc w:val="left"/>
    </w:lvl>
  </w:abstractNum>
  <w:abstractNum w:abstractNumId="1">
    <w:nsid w:val="1161ED65"/>
    <w:multiLevelType w:val="singleLevel"/>
    <w:tmpl w:val="1161ED65"/>
    <w:lvl w:ilvl="0" w:tentative="0">
      <w:start w:val="2"/>
      <w:numFmt w:val="decimal"/>
      <w:lvlText w:val="%1."/>
      <w:lvlJc w:val="left"/>
      <w:pPr>
        <w:tabs>
          <w:tab w:val="left" w:pos="312"/>
        </w:tabs>
      </w:pPr>
    </w:lvl>
  </w:abstractNum>
  <w:abstractNum w:abstractNumId="2">
    <w:nsid w:val="14D44C40"/>
    <w:multiLevelType w:val="singleLevel"/>
    <w:tmpl w:val="14D44C40"/>
    <w:lvl w:ilvl="0" w:tentative="0">
      <w:start w:val="1"/>
      <w:numFmt w:val="decimal"/>
      <w:suff w:val="nothing"/>
      <w:lvlText w:val="（%1）"/>
      <w:lvlJc w:val="left"/>
      <w:rPr>
        <w:rFonts w:hint="default"/>
        <w:b w:val="0"/>
        <w:bCs w:val="0"/>
      </w:rPr>
    </w:lvl>
  </w:abstractNum>
  <w:abstractNum w:abstractNumId="3">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4">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421C195"/>
    <w:multiLevelType w:val="singleLevel"/>
    <w:tmpl w:val="3421C195"/>
    <w:lvl w:ilvl="0" w:tentative="0">
      <w:start w:val="1"/>
      <w:numFmt w:val="decimal"/>
      <w:suff w:val="nothing"/>
      <w:lvlText w:val="（%1）"/>
      <w:lvlJc w:val="left"/>
    </w:lvl>
  </w:abstractNum>
  <w:abstractNum w:abstractNumId="6">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7">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4"/>
  </w:num>
  <w:num w:numId="3">
    <w:abstractNumId w:val="3"/>
  </w:num>
  <w:num w:numId="4">
    <w:abstractNumId w:val="1"/>
  </w:num>
  <w:num w:numId="5">
    <w:abstractNumId w:val="2"/>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4B7335E"/>
    <w:rsid w:val="05E95EFC"/>
    <w:rsid w:val="06864B8E"/>
    <w:rsid w:val="20A15AFD"/>
    <w:rsid w:val="295734B6"/>
    <w:rsid w:val="2AAD7DB1"/>
    <w:rsid w:val="408D0011"/>
    <w:rsid w:val="47290367"/>
    <w:rsid w:val="57AD1C83"/>
    <w:rsid w:val="741713C4"/>
    <w:rsid w:val="74E314C0"/>
    <w:rsid w:val="77CF55B7"/>
    <w:rsid w:val="7A7A20E2"/>
    <w:rsid w:val="7BA124D7"/>
    <w:rsid w:val="7BDF11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7"/>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5"/>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3 字符"/>
    <w:basedOn w:val="21"/>
    <w:link w:val="4"/>
    <w:qFormat/>
    <w:uiPriority w:val="9"/>
    <w:rPr>
      <w:rFonts w:cs="仿宋"/>
      <w:b/>
      <w:bCs/>
      <w:kern w:val="2"/>
      <w:szCs w:val="24"/>
    </w:rPr>
  </w:style>
  <w:style w:type="character" w:customStyle="1" w:styleId="26">
    <w:name w:val="标题 1 字符"/>
    <w:basedOn w:val="21"/>
    <w:link w:val="2"/>
    <w:qFormat/>
    <w:uiPriority w:val="0"/>
    <w:rPr>
      <w:rFonts w:ascii="Calibri" w:hAnsi="Calibri" w:cs="Times New Roman"/>
      <w:b/>
      <w:bCs/>
      <w:kern w:val="44"/>
      <w:sz w:val="44"/>
      <w:szCs w:val="44"/>
    </w:rPr>
  </w:style>
  <w:style w:type="character" w:customStyle="1" w:styleId="27">
    <w:name w:val="标题 2 字符"/>
    <w:basedOn w:val="21"/>
    <w:link w:val="3"/>
    <w:qFormat/>
    <w:uiPriority w:val="99"/>
    <w:rPr>
      <w:rFonts w:ascii="Times New Roman" w:hAnsi="Times New Roman" w:eastAsia="黑体" w:cs="Times New Roman"/>
      <w:kern w:val="2"/>
      <w:sz w:val="28"/>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uiPriority w:val="0"/>
    <w:pPr>
      <w:widowControl/>
      <w:spacing w:before="100" w:beforeAutospacing="1" w:after="100" w:afterAutospacing="1"/>
      <w:jc w:val="left"/>
    </w:pPr>
    <w:rPr>
      <w:kern w:val="0"/>
      <w:sz w:val="24"/>
    </w:rPr>
  </w:style>
  <w:style w:type="paragraph" w:customStyle="1" w:styleId="61">
    <w:name w:val="xl105"/>
    <w:basedOn w:val="1"/>
    <w:uiPriority w:val="0"/>
    <w:pPr>
      <w:widowControl/>
      <w:spacing w:before="100" w:beforeAutospacing="1" w:after="100" w:afterAutospacing="1"/>
      <w:jc w:val="center"/>
    </w:pPr>
    <w:rPr>
      <w:kern w:val="0"/>
      <w:sz w:val="24"/>
    </w:rPr>
  </w:style>
  <w:style w:type="paragraph" w:customStyle="1" w:styleId="62">
    <w:name w:val="xl10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uiPriority w:val="99"/>
    <w:rPr>
      <w:rFonts w:cs="Times New Roman"/>
      <w:kern w:val="2"/>
      <w:sz w:val="21"/>
      <w:szCs w:val="24"/>
    </w:rPr>
  </w:style>
  <w:style w:type="character" w:customStyle="1" w:styleId="92">
    <w:name w:val="apple-converted-space"/>
    <w:uiPriority w:val="99"/>
    <w:rPr>
      <w:rFonts w:cs="Times New Roman"/>
    </w:rPr>
  </w:style>
  <w:style w:type="paragraph" w:customStyle="1" w:styleId="93">
    <w:name w:val="List Paragraph1"/>
    <w:basedOn w:val="1"/>
    <w:uiPriority w:val="99"/>
    <w:pPr>
      <w:ind w:firstLine="420" w:firstLineChars="200"/>
    </w:pPr>
    <w:rPr>
      <w:rFonts w:ascii="Calibri" w:hAnsi="Calibri"/>
      <w:szCs w:val="22"/>
    </w:rPr>
  </w:style>
  <w:style w:type="character" w:customStyle="1" w:styleId="94">
    <w:name w:val="font21"/>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uiPriority w:val="9"/>
    <w:rPr>
      <w:rFonts w:ascii="Times New Roman" w:hAnsi="Times New Roman" w:cs="Times New Roman"/>
      <w:b/>
      <w:bCs/>
      <w:kern w:val="2"/>
      <w:sz w:val="28"/>
      <w:szCs w:val="28"/>
    </w:rPr>
  </w:style>
  <w:style w:type="character" w:customStyle="1" w:styleId="135">
    <w:name w:val="正文文本 字符"/>
    <w:basedOn w:val="21"/>
    <w:link w:val="7"/>
    <w:uiPriority w:val="99"/>
    <w:rPr>
      <w:rFonts w:ascii="Times New Roman" w:hAnsi="Times New Roman" w:cs="Times New Roman"/>
      <w:kern w:val="2"/>
      <w:sz w:val="21"/>
      <w:szCs w:val="24"/>
    </w:rPr>
  </w:style>
  <w:style w:type="character" w:customStyle="1" w:styleId="136">
    <w:name w:val="建设方案正文 Char Char"/>
    <w:link w:val="137"/>
    <w:uiPriority w:val="0"/>
    <w:rPr>
      <w:rFonts w:ascii="仿宋_GB2312" w:eastAsia="仿宋_GB2312"/>
      <w:color w:val="000000"/>
      <w:kern w:val="2"/>
    </w:rPr>
  </w:style>
  <w:style w:type="paragraph" w:customStyle="1" w:styleId="137">
    <w:name w:val="建设方案正文"/>
    <w:basedOn w:val="1"/>
    <w:link w:val="136"/>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uiPriority w:val="0"/>
    <w:rPr>
      <w:rFonts w:ascii="黑体" w:hAnsi="黑体" w:eastAsia="黑体" w:cs="Times New Roman"/>
      <w:bCs/>
      <w:color w:val="000000"/>
      <w:kern w:val="2"/>
      <w:szCs w:val="24"/>
    </w:rPr>
  </w:style>
  <w:style w:type="paragraph" w:customStyle="1" w:styleId="140">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63">
    <w:name w:val="Table Text"/>
    <w:basedOn w:val="1"/>
    <w:semiHidden/>
    <w:qFormat/>
    <w:uiPriority w:val="0"/>
    <w:rPr>
      <w:rFonts w:ascii="宋体" w:hAnsi="宋体" w:eastAsia="宋体" w:cs="宋体"/>
      <w:sz w:val="18"/>
      <w:szCs w:val="18"/>
      <w:lang w:val="en-US" w:eastAsia="en-US" w:bidi="ar-SA"/>
    </w:rPr>
  </w:style>
  <w:style w:type="character" w:customStyle="1" w:styleId="164">
    <w:name w:val="font51"/>
    <w:basedOn w:val="21"/>
    <w:uiPriority w:val="0"/>
    <w:rPr>
      <w:rFonts w:hint="eastAsia" w:ascii="宋体" w:hAnsi="宋体" w:eastAsia="宋体" w:cs="宋体"/>
      <w:color w:val="000000"/>
      <w:sz w:val="20"/>
      <w:szCs w:val="20"/>
      <w:u w:val="none"/>
    </w:rPr>
  </w:style>
  <w:style w:type="character" w:customStyle="1" w:styleId="165">
    <w:name w:val="font71"/>
    <w:basedOn w:val="21"/>
    <w:uiPriority w:val="0"/>
    <w:rPr>
      <w:rFonts w:hint="default" w:ascii="Times New Roman" w:hAnsi="Times New Roman" w:cs="Times New Roman"/>
      <w:color w:val="000000"/>
      <w:sz w:val="20"/>
      <w:szCs w:val="20"/>
      <w:u w:val="none"/>
    </w:rPr>
  </w:style>
  <w:style w:type="character" w:customStyle="1" w:styleId="166">
    <w:name w:val="font81"/>
    <w:basedOn w:val="21"/>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1.bin"/><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emf"/><Relationship Id="rId12" Type="http://schemas.openxmlformats.org/officeDocument/2006/relationships/oleObject" Target="embeddings/oleObject3.bin"/><Relationship Id="rId11" Type="http://schemas.openxmlformats.org/officeDocument/2006/relationships/image" Target="media/image3.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2766</Words>
  <Characters>2832</Characters>
  <Lines>49</Lines>
  <Paragraphs>13</Paragraphs>
  <TotalTime>13</TotalTime>
  <ScaleCrop>false</ScaleCrop>
  <LinksUpToDate>false</LinksUpToDate>
  <CharactersWithSpaces>2963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会灰的小灰机</cp:lastModifiedBy>
  <cp:lastPrinted>2025-05-12T02:07:00Z</cp:lastPrinted>
  <dcterms:modified xsi:type="dcterms:W3CDTF">2025-05-30T09:28:22Z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eyJoZGlkIjoiMWU1ZmE5YzhkOGNkM2MxNGY3ZDNiMmM0MzRjYzRhZjgiLCJ1c2VySWQiOiI2NTA2MTUxMjMifQ==</vt:lpwstr>
  </property>
  <property fmtid="{D5CDD505-2E9C-101B-9397-08002B2CF9AE}" pid="3" name="KSOProductBuildVer">
    <vt:lpwstr>2052-12.1.0.21171</vt:lpwstr>
  </property>
  <property fmtid="{D5CDD505-2E9C-101B-9397-08002B2CF9AE}" pid="4" name="ICV">
    <vt:lpwstr>BB51140160BB42C4B1FBFB4C60666504_12</vt:lpwstr>
  </property>
</Properties>
</file>