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36086053"/>
      <w:bookmarkStart w:id="1" w:name="_Toc418758133"/>
      <w:bookmarkStart w:id="2" w:name="_Toc422736380"/>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8"/>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rPr>
                <w:rFonts w:hint="default" w:ascii="仿宋" w:hAnsi="仿宋" w:eastAsia="仿宋"/>
                <w:sz w:val="32"/>
                <w:szCs w:val="32"/>
                <w:lang w:val="en-US" w:eastAsia="zh-CN"/>
              </w:rPr>
            </w:pPr>
            <w:r>
              <w:rPr>
                <w:rFonts w:hint="eastAsia" w:ascii="仿宋" w:hAnsi="仿宋" w:eastAsia="仿宋"/>
                <w:sz w:val="32"/>
                <w:szCs w:val="32"/>
                <w:lang w:val="en-US" w:eastAsia="zh-CN"/>
              </w:rPr>
              <w:t>智能应用工程学院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rPr>
                <w:rFonts w:hint="eastAsia" w:ascii="仿宋" w:hAnsi="仿宋" w:eastAsia="仿宋"/>
                <w:sz w:val="32"/>
                <w:szCs w:val="32"/>
                <w:lang w:val="en-US" w:eastAsia="zh-CN"/>
              </w:rPr>
            </w:pPr>
            <w:r>
              <w:rPr>
                <w:rFonts w:hint="eastAsia" w:ascii="仿宋" w:hAnsi="仿宋" w:eastAsia="仿宋"/>
                <w:sz w:val="32"/>
                <w:szCs w:val="32"/>
                <w:lang w:val="en-US" w:eastAsia="zh-CN"/>
              </w:rPr>
              <w:t>汽车电子技术</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rPr>
                <w:rFonts w:hint="eastAsia" w:ascii="仿宋" w:hAnsi="仿宋" w:eastAsia="仿宋"/>
                <w:sz w:val="32"/>
                <w:szCs w:val="32"/>
                <w:lang w:val="en-US" w:eastAsia="zh-CN"/>
              </w:rPr>
            </w:pPr>
            <w:r>
              <w:rPr>
                <w:rFonts w:hint="eastAsia" w:ascii="仿宋" w:hAnsi="仿宋" w:eastAsia="仿宋"/>
                <w:sz w:val="32"/>
                <w:szCs w:val="32"/>
                <w:lang w:val="en-US" w:eastAsia="zh-CN"/>
              </w:rPr>
              <w:t>许雅</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sz w:val="32"/>
                <w:szCs w:val="32"/>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sz w:val="32"/>
                <w:szCs w:val="32"/>
              </w:rPr>
            </w:pP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3305DFF5">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7"/>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5"/>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5"/>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5"/>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5"/>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5"/>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5"/>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5"/>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5"/>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5"/>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5"/>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5"/>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5"/>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5"/>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5"/>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5"/>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5"/>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5"/>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5"/>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5"/>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02B90935">
      <w:pPr>
        <w:rPr>
          <w:sz w:val="24"/>
        </w:rPr>
        <w:sectPr>
          <w:pgSz w:w="11906" w:h="16838"/>
          <w:pgMar w:top="1418" w:right="1301" w:bottom="1091" w:left="1155" w:header="851" w:footer="731" w:gutter="0"/>
          <w:pgNumType w:start="1"/>
          <w:cols w:space="425" w:num="1"/>
          <w:docGrid w:type="lines" w:linePitch="312" w:charSpace="0"/>
        </w:sectPr>
      </w:pPr>
    </w:p>
    <w:p w14:paraId="2A800034">
      <w:pPr>
        <w:jc w:val="center"/>
        <w:rPr>
          <w:rFonts w:hint="eastAsia" w:ascii="华文中宋" w:hAnsi="华文中宋" w:eastAsia="华文中宋"/>
          <w:b/>
          <w:bCs/>
          <w:kern w:val="44"/>
          <w:sz w:val="44"/>
          <w:szCs w:val="44"/>
          <w:lang w:eastAsia="zh-CN"/>
        </w:rPr>
      </w:pPr>
      <w:r>
        <w:rPr>
          <w:rFonts w:hint="eastAsia" w:ascii="华文中宋" w:hAnsi="华文中宋" w:eastAsia="华文中宋"/>
          <w:b/>
          <w:bCs/>
          <w:kern w:val="44"/>
          <w:sz w:val="44"/>
          <w:szCs w:val="44"/>
          <w:lang w:val="en-US" w:eastAsia="zh-CN"/>
        </w:rPr>
        <w:t>汽车电子技术</w:t>
      </w:r>
      <w:r>
        <w:rPr>
          <w:rFonts w:ascii="华文中宋" w:hAnsi="华文中宋" w:eastAsia="华文中宋"/>
          <w:b/>
          <w:bCs/>
          <w:kern w:val="44"/>
          <w:sz w:val="44"/>
          <w:szCs w:val="44"/>
        </w:rPr>
        <w:t>专业人才培养方案</w:t>
      </w:r>
    </w:p>
    <w:p w14:paraId="7ABB3370">
      <w:pPr>
        <w:jc w:val="center"/>
        <w:rPr>
          <w:rFonts w:hint="eastAsia" w:ascii="华文中宋" w:hAnsi="华文中宋" w:eastAsia="华文中宋"/>
          <w:b/>
          <w:bCs/>
          <w:kern w:val="44"/>
          <w:sz w:val="44"/>
          <w:szCs w:val="44"/>
        </w:rPr>
      </w:pP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b/>
          <w:bCs/>
          <w:sz w:val="24"/>
          <w:szCs w:val="32"/>
          <w:lang w:val="en-US" w:eastAsia="zh-CN"/>
        </w:rPr>
        <w:t>汽车电子技术</w:t>
      </w:r>
      <w:r>
        <w:rPr>
          <w:rFonts w:hint="eastAsia"/>
          <w:sz w:val="24"/>
          <w:szCs w:val="32"/>
        </w:rPr>
        <w:t>（</w:t>
      </w:r>
      <w:r>
        <w:rPr>
          <w:rFonts w:hint="eastAsia"/>
          <w:sz w:val="24"/>
          <w:szCs w:val="32"/>
          <w:lang w:val="en-US" w:eastAsia="zh-CN"/>
        </w:rPr>
        <w:t>460703</w:t>
      </w:r>
      <w:r>
        <w:rPr>
          <w:rFonts w:hint="eastAsia"/>
          <w:sz w:val="24"/>
          <w:szCs w:val="32"/>
        </w:rPr>
        <w:t>）</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5"/>
        <w:gridCol w:w="6096"/>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rPr>
                <w:sz w:val="24"/>
              </w:rPr>
            </w:pPr>
            <w:r>
              <w:rPr>
                <w:rFonts w:hint="eastAsia"/>
                <w:sz w:val="24"/>
              </w:rPr>
              <w:t>装备制造大类（46）</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snapToGrid w:val="0"/>
              <w:contextualSpacing/>
              <w:rPr>
                <w:sz w:val="24"/>
              </w:rPr>
            </w:pPr>
            <w:r>
              <w:rPr>
                <w:rFonts w:hint="eastAsia"/>
                <w:sz w:val="24"/>
              </w:rPr>
              <w:t>汽车制造类（4607）</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343321BA">
            <w:pPr>
              <w:snapToGrid w:val="0"/>
              <w:contextualSpacing/>
              <w:rPr>
                <w:sz w:val="24"/>
              </w:rPr>
            </w:pPr>
            <w:r>
              <w:rPr>
                <w:rFonts w:hint="eastAsia"/>
                <w:sz w:val="24"/>
              </w:rPr>
              <w:t>汽车零部件及配件制造（3670）、智能车载设备制造（3962）</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389E2AFA">
            <w:pPr>
              <w:keepNext w:val="0"/>
              <w:keepLines w:val="0"/>
              <w:pageBreakBefore w:val="0"/>
              <w:widowControl w:val="0"/>
              <w:kinsoku/>
              <w:wordWrap w:val="0"/>
              <w:overflowPunct/>
              <w:topLinePunct w:val="0"/>
              <w:autoSpaceDE/>
              <w:autoSpaceDN/>
              <w:bidi w:val="0"/>
              <w:adjustRightInd/>
              <w:snapToGrid w:val="0"/>
              <w:contextualSpacing/>
              <w:textAlignment w:val="auto"/>
              <w:rPr>
                <w:sz w:val="24"/>
              </w:rPr>
            </w:pPr>
            <w:r>
              <w:rPr>
                <w:rFonts w:hint="eastAsia"/>
                <w:sz w:val="24"/>
              </w:rPr>
              <w:t>汽车工程技术人员 L（2-02-07-11）、电子设备装配调试人员（6-25-04）、电气电子产品环保检验员 L（4-08-05-07）、信息安全测试员 S（4-04-04-04）</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31EF2E59">
            <w:pPr>
              <w:snapToGrid w:val="0"/>
              <w:contextualSpacing/>
              <w:rPr>
                <w:rFonts w:hint="eastAsia"/>
                <w:sz w:val="24"/>
              </w:rPr>
            </w:pPr>
            <w:r>
              <w:rPr>
                <w:rFonts w:hint="eastAsia"/>
                <w:sz w:val="24"/>
              </w:rPr>
              <w:t>研发辅助：汽车电子产品样品试制、试验，生产制造：汽</w:t>
            </w:r>
          </w:p>
          <w:p w14:paraId="7C9BA656">
            <w:pPr>
              <w:snapToGrid w:val="0"/>
              <w:contextualSpacing/>
              <w:rPr>
                <w:rFonts w:hint="eastAsia"/>
                <w:sz w:val="24"/>
              </w:rPr>
            </w:pPr>
            <w:r>
              <w:rPr>
                <w:rFonts w:hint="eastAsia"/>
                <w:sz w:val="24"/>
              </w:rPr>
              <w:t>车电子产品成品装配、调试、测试、标定、质量检验、相</w:t>
            </w:r>
          </w:p>
          <w:p w14:paraId="60036759">
            <w:pPr>
              <w:snapToGrid w:val="0"/>
              <w:contextualSpacing/>
              <w:rPr>
                <w:rFonts w:hint="eastAsia"/>
                <w:sz w:val="24"/>
              </w:rPr>
            </w:pPr>
            <w:r>
              <w:rPr>
                <w:rFonts w:hint="eastAsia"/>
                <w:sz w:val="24"/>
              </w:rPr>
              <w:t>关工艺管理和现场管理，营运服务：汽车电子产品售前售</w:t>
            </w:r>
          </w:p>
          <w:p w14:paraId="3AC416DF">
            <w:pPr>
              <w:snapToGrid w:val="0"/>
              <w:contextualSpacing/>
              <w:rPr>
                <w:sz w:val="24"/>
              </w:rPr>
            </w:pPr>
            <w:r>
              <w:rPr>
                <w:rFonts w:hint="eastAsia"/>
                <w:sz w:val="24"/>
              </w:rPr>
              <w:t>后技术支持……</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snapToGrid w:val="0"/>
              <w:contextualSpacing/>
              <w:rPr>
                <w:rFonts w:hint="default" w:eastAsia="宋体"/>
                <w:sz w:val="24"/>
                <w:lang w:val="en-US" w:eastAsia="zh-CN"/>
              </w:rPr>
            </w:pPr>
            <w:r>
              <w:rPr>
                <w:rFonts w:hint="eastAsia"/>
                <w:sz w:val="24"/>
                <w:lang w:val="en-US" w:eastAsia="zh-CN"/>
              </w:rPr>
              <w:t>汽车维修工、新能源汽车装调与测试、智能网联汽车测试装调……</w:t>
            </w:r>
          </w:p>
        </w:tc>
      </w:tr>
    </w:tbl>
    <w:p w14:paraId="03687826">
      <w:pPr>
        <w:pStyle w:val="3"/>
        <w:spacing w:line="360" w:lineRule="auto"/>
      </w:pPr>
      <w:bookmarkStart w:id="7" w:name="_Toc197702691"/>
      <w:r>
        <w:t>培养目标</w:t>
      </w:r>
      <w:r>
        <w:rPr>
          <w:rFonts w:hint="eastAsia"/>
          <w:vanish/>
          <w:color w:val="FF0000"/>
        </w:rPr>
        <w:t>（参照教育部标准）</w:t>
      </w:r>
      <w:bookmarkEnd w:id="7"/>
    </w:p>
    <w:p w14:paraId="3E3C3D9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szCs w:val="32"/>
        </w:rPr>
      </w:pPr>
      <w:r>
        <w:rPr>
          <w:rFonts w:hint="eastAsia"/>
          <w:sz w:val="24"/>
          <w:szCs w:val="32"/>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汽车零部件及配件制造、智能车载设备制造等行业中的汽车工程技术人员、电子设备装配调试人员、电气电子产品环保检验员、信息安全测试员等职业，能够从事汽车电子产品样品试制、试验，汽车电子产品成品装配、调试、测试、标定、质量检验、相关工艺管理和现场管理，售前售后技术支持等工作的高技能人才。</w:t>
      </w:r>
    </w:p>
    <w:p w14:paraId="3247DAB2">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2E573E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本专业学生应在系统学习本专业知识并完成有关实习实训基础上，全面提升知识、能力、素质，掌握并实际运用岗位（群）需要的专业核心技术技能，实现德智体美劳全面发展，总体上须达到以下要求：</w:t>
      </w:r>
    </w:p>
    <w:p w14:paraId="1DE105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（1）坚定拥护中国共产党领导和中国特色社会主义制度，以习近平新时代中国特色社会主义思想为指导，践行社会主义核心价值观，具有坚定的理想信念、深厚的爱国情感和中华民族自豪感；</w:t>
      </w:r>
    </w:p>
    <w:p w14:paraId="18A8E8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79B522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（3）掌握支撑本专业学习和可持续发展必备的数学、外语、信息技术等文化基础知识，具有良好的人文素养与科学素养，具备职业生涯规划能力；</w:t>
      </w:r>
    </w:p>
    <w:p w14:paraId="7179D2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（4）具有良好的语言表达能力、文字表达能力、沟通合作能力，具有较强的集体意识和团队合作意识，学习 1 门外语并结合本专业加以运用；</w:t>
      </w:r>
    </w:p>
    <w:p w14:paraId="39F387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（5）掌握汽车构造、汽车电工电子技术、CAD、汽车机械基础、</w:t>
      </w:r>
      <w:r>
        <w:rPr>
          <w:rFonts w:hint="eastAsia"/>
          <w:sz w:val="24"/>
          <w:szCs w:val="32"/>
          <w:lang w:val="en-US" w:eastAsia="zh-CN"/>
        </w:rPr>
        <w:t>UG</w:t>
      </w:r>
      <w:r>
        <w:rPr>
          <w:rFonts w:hint="eastAsia"/>
          <w:sz w:val="24"/>
          <w:szCs w:val="32"/>
        </w:rPr>
        <w:t>等方面的基础理论知识；</w:t>
      </w:r>
    </w:p>
    <w:p w14:paraId="02D9C3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w:t>
      </w:r>
      <w:r>
        <w:rPr>
          <w:rFonts w:hint="eastAsia"/>
          <w:sz w:val="24"/>
          <w:szCs w:val="32"/>
          <w:lang w:val="en-US" w:eastAsia="zh-CN"/>
        </w:rPr>
        <w:t>6</w:t>
      </w:r>
      <w:r>
        <w:rPr>
          <w:rFonts w:hint="eastAsia"/>
          <w:sz w:val="24"/>
          <w:szCs w:val="32"/>
        </w:rPr>
        <w:t>）掌握汽车车身电气设备结构与原理，安装调试与诊断流程，具备汽车电气设备部件总成检测、诊断、维修、现场管理和服务沟通能力；</w:t>
      </w:r>
    </w:p>
    <w:p w14:paraId="27C55A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w:t>
      </w:r>
      <w:r>
        <w:rPr>
          <w:rFonts w:hint="eastAsia"/>
          <w:sz w:val="24"/>
          <w:szCs w:val="32"/>
          <w:lang w:val="en-US" w:eastAsia="zh-CN"/>
        </w:rPr>
        <w:t>7</w:t>
      </w:r>
      <w:r>
        <w:rPr>
          <w:rFonts w:hint="eastAsia"/>
          <w:sz w:val="24"/>
          <w:szCs w:val="32"/>
        </w:rPr>
        <w:t>）掌握汽车发动机电控技术、底盘电控技术和车身电控技术的原理及结构，具备发动机、底盘和车身各电控系统检测、故障诊断、修复的能力；</w:t>
      </w:r>
    </w:p>
    <w:p w14:paraId="77F925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w:t>
      </w:r>
      <w:r>
        <w:rPr>
          <w:rFonts w:hint="eastAsia"/>
          <w:sz w:val="24"/>
          <w:szCs w:val="32"/>
          <w:lang w:val="en-US" w:eastAsia="zh-CN"/>
        </w:rPr>
        <w:t>8</w:t>
      </w:r>
      <w:r>
        <w:rPr>
          <w:rFonts w:hint="eastAsia"/>
          <w:sz w:val="24"/>
          <w:szCs w:val="32"/>
        </w:rPr>
        <w:t>）掌握车载网络的架构、原理，了解汽车总线的开发方法和故障诊断流程，具备使用设备对汽车计算机进行程序加载、编码与数据传输、车载网络信息安全防护与测试、故障诊断与波形分析的能力；</w:t>
      </w:r>
    </w:p>
    <w:p w14:paraId="7B7760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w:t>
      </w:r>
      <w:r>
        <w:rPr>
          <w:rFonts w:hint="eastAsia"/>
          <w:sz w:val="24"/>
          <w:szCs w:val="32"/>
          <w:lang w:val="en-US" w:eastAsia="zh-CN"/>
        </w:rPr>
        <w:t>9</w:t>
      </w:r>
      <w:r>
        <w:rPr>
          <w:rFonts w:hint="eastAsia"/>
          <w:sz w:val="24"/>
          <w:szCs w:val="32"/>
        </w:rPr>
        <w:t>）掌握传统汽车整车电路综合故障诊断及排除流程与方法，了解纯电动汽车、智能网联汽车电路系统故障诊断排除思路，具备进行新能源汽车或智能网联汽车远程测试及故障修复等操作的能力；</w:t>
      </w:r>
    </w:p>
    <w:p w14:paraId="552A61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w:t>
      </w:r>
      <w:r>
        <w:rPr>
          <w:rFonts w:hint="eastAsia"/>
          <w:sz w:val="24"/>
          <w:szCs w:val="32"/>
          <w:lang w:val="en-US" w:eastAsia="zh-CN"/>
        </w:rPr>
        <w:t>0</w:t>
      </w:r>
      <w:r>
        <w:rPr>
          <w:rFonts w:hint="eastAsia"/>
          <w:sz w:val="24"/>
          <w:szCs w:val="32"/>
        </w:rPr>
        <w:t>）掌握信息技术基础知识，具有适应本行业数字化和智能化发展需求的数字技能；</w:t>
      </w:r>
    </w:p>
    <w:p w14:paraId="2BECD2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w:t>
      </w:r>
      <w:r>
        <w:rPr>
          <w:rFonts w:hint="eastAsia"/>
          <w:sz w:val="24"/>
          <w:szCs w:val="32"/>
          <w:lang w:val="en-US" w:eastAsia="zh-CN"/>
        </w:rPr>
        <w:t>1</w:t>
      </w:r>
      <w:r>
        <w:rPr>
          <w:rFonts w:hint="eastAsia"/>
          <w:sz w:val="24"/>
          <w:szCs w:val="32"/>
        </w:rPr>
        <w:t>）具有探究学习、终身学习和可持续发展的能力，具有整合知识和综合运用知识分析问题和解决问题的能力；</w:t>
      </w:r>
    </w:p>
    <w:p w14:paraId="3D6D92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w:t>
      </w:r>
      <w:r>
        <w:rPr>
          <w:rFonts w:hint="eastAsia"/>
          <w:sz w:val="24"/>
          <w:szCs w:val="32"/>
          <w:lang w:val="en-US" w:eastAsia="zh-CN"/>
        </w:rPr>
        <w:t>2</w:t>
      </w:r>
      <w:r>
        <w:rPr>
          <w:rFonts w:hint="eastAsia"/>
          <w:sz w:val="24"/>
          <w:szCs w:val="32"/>
        </w:rPr>
        <w:t>）掌握身体运动的基本知识和至少 1 项体育运动技能，达到国家大学生体质健康测试合格标准，养成良好的运动习惯、卫生习惯和行为习惯；具备一定的心理调适能力；</w:t>
      </w:r>
    </w:p>
    <w:p w14:paraId="6A816D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w:t>
      </w:r>
      <w:r>
        <w:rPr>
          <w:rFonts w:hint="eastAsia"/>
          <w:sz w:val="24"/>
          <w:szCs w:val="32"/>
          <w:lang w:val="en-US" w:eastAsia="zh-CN"/>
        </w:rPr>
        <w:t>3</w:t>
      </w:r>
      <w:r>
        <w:rPr>
          <w:rFonts w:hint="eastAsia"/>
          <w:sz w:val="24"/>
          <w:szCs w:val="32"/>
        </w:rPr>
        <w:t>）掌握必备的美育知识，具有一定的文化修养、审美能力，形成至少 1 项艺术特长或爱好；</w:t>
      </w:r>
    </w:p>
    <w:p w14:paraId="426134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w:t>
      </w:r>
      <w:r>
        <w:rPr>
          <w:rFonts w:hint="eastAsia"/>
          <w:sz w:val="24"/>
          <w:szCs w:val="32"/>
          <w:lang w:val="en-US" w:eastAsia="zh-CN"/>
        </w:rPr>
        <w:t>4</w:t>
      </w:r>
      <w:r>
        <w:rPr>
          <w:rFonts w:hint="eastAsia"/>
          <w:sz w:val="24"/>
          <w:szCs w:val="32"/>
        </w:rPr>
        <w:t>）树立正确的劳动观，尊重劳动，热爱劳动，具备与本专业职业发展相适应的劳动素养，弘扬劳模精神、劳动精神、工匠精神，弘扬劳动光荣、技能宝贵、创造伟大的时代风尚。</w:t>
      </w:r>
    </w:p>
    <w:p w14:paraId="54EA1A3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p>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4D1ACA12">
      <w:pPr>
        <w:spacing w:line="360" w:lineRule="auto"/>
        <w:ind w:firstLine="480" w:firstLineChars="200"/>
        <w:rPr>
          <w:rFonts w:hint="eastAsia" w:eastAsia="宋体"/>
          <w:sz w:val="24"/>
          <w:lang w:val="en-US" w:eastAsia="zh-CN"/>
        </w:rPr>
      </w:pPr>
      <w:r>
        <w:rPr>
          <w:rFonts w:hint="eastAsia"/>
          <w:sz w:val="24"/>
        </w:rPr>
        <w:t>思想道德与法治</w:t>
      </w:r>
      <w:r>
        <w:rPr>
          <w:rFonts w:hint="eastAsia"/>
          <w:sz w:val="24"/>
          <w:lang w:val="en-US" w:eastAsia="zh-CN"/>
        </w:rPr>
        <w:t>、毛泽东思想和中国特色社会主义理论体系概论、习近平新时代中国特色社会主义思想概论、国家安全教育、形势与政策、军事理论与军训、职业生涯规划、心理健康教育、就业与创业指导、劳动教育、体育1、体育2、体育3、体育4、高等数学、计算机应用基础、大学英语1、大学英语2</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416C766F">
      <w:pPr>
        <w:snapToGrid w:val="0"/>
        <w:spacing w:line="360" w:lineRule="auto"/>
        <w:ind w:firstLine="480" w:firstLineChars="200"/>
        <w:contextualSpacing/>
        <w:rPr>
          <w:sz w:val="24"/>
        </w:rPr>
      </w:pPr>
      <w:r>
        <w:rPr>
          <w:sz w:val="24"/>
        </w:rPr>
        <w:t>（1）专业基础课程</w:t>
      </w:r>
    </w:p>
    <w:p w14:paraId="09F7B32F">
      <w:pPr>
        <w:snapToGrid w:val="0"/>
        <w:spacing w:line="360" w:lineRule="auto"/>
        <w:ind w:firstLine="480" w:firstLineChars="200"/>
        <w:contextualSpacing/>
        <w:rPr>
          <w:rFonts w:hint="eastAsia" w:eastAsia="宋体"/>
          <w:sz w:val="24"/>
          <w:lang w:eastAsia="zh-CN"/>
        </w:rPr>
      </w:pPr>
      <w:r>
        <w:rPr>
          <w:rFonts w:hint="eastAsia"/>
          <w:sz w:val="24"/>
        </w:rPr>
        <w:t>电工电子技术</w:t>
      </w:r>
      <w:r>
        <w:rPr>
          <w:rFonts w:hint="eastAsia"/>
          <w:sz w:val="24"/>
          <w:lang w:eastAsia="zh-CN"/>
        </w:rPr>
        <w:t>、汽车概论、机械制图、AutoCAD辅助绘图、液压与气动技术、汽车传感器技术、</w:t>
      </w:r>
      <w:r>
        <w:rPr>
          <w:rFonts w:hint="eastAsia"/>
          <w:sz w:val="24"/>
          <w:lang w:val="en-US" w:eastAsia="zh-CN"/>
        </w:rPr>
        <w:t>汽车机械基础</w:t>
      </w:r>
    </w:p>
    <w:p w14:paraId="79086925">
      <w:pPr>
        <w:snapToGrid w:val="0"/>
        <w:spacing w:line="360" w:lineRule="auto"/>
        <w:ind w:firstLine="480" w:firstLineChars="200"/>
        <w:contextualSpacing/>
        <w:rPr>
          <w:sz w:val="24"/>
        </w:rPr>
      </w:pPr>
      <w:r>
        <w:rPr>
          <w:sz w:val="24"/>
        </w:rPr>
        <w:t>（2）专业核心课程</w:t>
      </w:r>
    </w:p>
    <w:p w14:paraId="1CB1E01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default" w:eastAsia="宋体"/>
          <w:lang w:val="en-US" w:eastAsia="zh-CN"/>
        </w:rPr>
      </w:pPr>
      <w:r>
        <w:rPr>
          <w:rFonts w:hint="eastAsia"/>
          <w:sz w:val="24"/>
          <w:lang w:val="en-US" w:eastAsia="zh-CN"/>
        </w:rPr>
        <w:t>汽车发动机构造与维修、汽车底盘构造与维修、汽车智能网联技术、汽车保险与理赔、汽车电器设备构造维修、汽车检测诊断技术、UG</w:t>
      </w:r>
    </w:p>
    <w:p w14:paraId="136D6C5C">
      <w:pPr>
        <w:snapToGrid w:val="0"/>
        <w:ind w:firstLine="422" w:firstLineChars="200"/>
        <w:contextualSpacing/>
        <w:jc w:val="center"/>
        <w:rPr>
          <w:b/>
          <w:bCs/>
        </w:rPr>
      </w:pPr>
      <w:r>
        <w:rPr>
          <w:rFonts w:hint="eastAsia"/>
          <w:b/>
          <w:bCs/>
        </w:rPr>
        <w:t>专业核心课程主要教学内容与要求</w:t>
      </w:r>
    </w:p>
    <w:tbl>
      <w:tblPr>
        <w:tblStyle w:val="133"/>
        <w:tblW w:w="5005" w:type="pct"/>
        <w:jc w:val="center"/>
        <w:tblLayout w:type="autofit"/>
        <w:tblCellMar>
          <w:top w:w="0" w:type="dxa"/>
          <w:left w:w="0" w:type="dxa"/>
          <w:bottom w:w="0" w:type="dxa"/>
          <w:right w:w="0" w:type="dxa"/>
        </w:tblCellMar>
      </w:tblPr>
      <w:tblGrid>
        <w:gridCol w:w="565"/>
        <w:gridCol w:w="3272"/>
        <w:gridCol w:w="3696"/>
        <w:gridCol w:w="1936"/>
      </w:tblGrid>
      <w:tr w14:paraId="6F36FCFE">
        <w:tblPrEx>
          <w:tblCellMar>
            <w:top w:w="0" w:type="dxa"/>
            <w:left w:w="0" w:type="dxa"/>
            <w:bottom w:w="0" w:type="dxa"/>
            <w:right w:w="0" w:type="dxa"/>
          </w:tblCellMar>
        </w:tblPrEx>
        <w:trPr>
          <w:trHeight w:val="408" w:hRule="exact"/>
          <w:tblHeader/>
          <w:jc w:val="center"/>
        </w:trPr>
        <w:tc>
          <w:tcPr>
            <w:tcW w:w="298"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727"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951"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B948E9E">
            <w:pPr>
              <w:pStyle w:val="134"/>
              <w:numPr>
                <w:ilvl w:val="0"/>
                <w:numId w:val="5"/>
              </w:numPr>
              <w:spacing w:line="272" w:lineRule="exact"/>
              <w:ind w:right="99"/>
              <w:jc w:val="center"/>
              <w:rPr>
                <w:rFonts w:hint="eastAsia" w:ascii="宋体" w:hAnsi="宋体" w:eastAsia="宋体" w:cs="宋体"/>
                <w:sz w:val="21"/>
                <w:szCs w:val="21"/>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7D2FFE10">
            <w:pPr>
              <w:pStyle w:val="134"/>
              <w:spacing w:line="285"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汽车发动机构造与维修</w:t>
            </w:r>
          </w:p>
        </w:tc>
        <w:tc>
          <w:tcPr>
            <w:tcW w:w="1951" w:type="pct"/>
            <w:tcBorders>
              <w:top w:val="single" w:color="000000" w:sz="4" w:space="0"/>
              <w:left w:val="single" w:color="000000" w:sz="4" w:space="0"/>
              <w:bottom w:val="single" w:color="000000" w:sz="4" w:space="0"/>
              <w:right w:val="single" w:color="000000" w:sz="4" w:space="0"/>
            </w:tcBorders>
            <w:vAlign w:val="center"/>
          </w:tcPr>
          <w:p w14:paraId="442E70A0">
            <w:pPr>
              <w:pStyle w:val="134"/>
              <w:spacing w:before="102"/>
              <w:ind w:left="100" w:right="102"/>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依据国家和国际标准，使用诊断设备和仪器对汽车</w:t>
            </w:r>
            <w:r>
              <w:rPr>
                <w:rFonts w:hint="eastAsia" w:ascii="宋体" w:hAnsi="宋体" w:eastAsia="宋体" w:cs="宋体"/>
                <w:sz w:val="21"/>
                <w:szCs w:val="21"/>
                <w:lang w:val="en-US" w:eastAsia="zh-CN"/>
              </w:rPr>
              <w:t>发动机进行拆卸和装配。</w:t>
            </w:r>
          </w:p>
          <w:p w14:paraId="7F8DF116">
            <w:pPr>
              <w:pStyle w:val="134"/>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 依据产品工艺文件，运用相关</w:t>
            </w:r>
            <w:r>
              <w:rPr>
                <w:rFonts w:hint="eastAsia" w:ascii="宋体" w:hAnsi="宋体" w:eastAsia="宋体" w:cs="宋体"/>
                <w:sz w:val="21"/>
                <w:szCs w:val="21"/>
                <w:lang w:val="en-US" w:eastAsia="zh-CN"/>
              </w:rPr>
              <w:t>仪器</w:t>
            </w:r>
            <w:r>
              <w:rPr>
                <w:rFonts w:hint="eastAsia" w:ascii="宋体" w:hAnsi="宋体" w:eastAsia="宋体" w:cs="宋体"/>
                <w:sz w:val="21"/>
                <w:szCs w:val="21"/>
                <w:lang w:eastAsia="zh-CN"/>
              </w:rPr>
              <w:t>进行数据监测，完成发动机总装后的磨合调试，确保动力性、经济性和排放达标。</w:t>
            </w:r>
          </w:p>
        </w:tc>
        <w:tc>
          <w:tcPr>
            <w:tcW w:w="1022" w:type="pct"/>
            <w:tcBorders>
              <w:top w:val="single" w:color="000000" w:sz="4" w:space="0"/>
              <w:left w:val="single" w:color="000000" w:sz="4" w:space="0"/>
              <w:bottom w:val="single" w:color="000000" w:sz="4" w:space="0"/>
              <w:right w:val="single" w:color="000000" w:sz="4" w:space="0"/>
            </w:tcBorders>
            <w:vAlign w:val="center"/>
          </w:tcPr>
          <w:p w14:paraId="3E97011B">
            <w:pPr>
              <w:pStyle w:val="134"/>
              <w:ind w:left="103"/>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①掌握发动机结构原理（如曲轴、活塞、气门等部件功能）、各系统协同工作机制及常见故障表现。②熟练使用维修工具（如诊断仪、示波器）进行规范操作，具备机械故障排查和电子控制系统检修能力。</w:t>
            </w:r>
          </w:p>
          <w:p w14:paraId="75487866">
            <w:pPr>
              <w:pStyle w:val="134"/>
              <w:ind w:left="103"/>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③注重安全环保规范，培养工匠精神与团队协作能力，持续关注新技术发展。</w:t>
            </w:r>
          </w:p>
        </w:tc>
      </w:tr>
      <w:tr w14:paraId="3EEFB32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45AE92ED">
            <w:pPr>
              <w:pStyle w:val="34"/>
              <w:numPr>
                <w:ilvl w:val="0"/>
                <w:numId w:val="5"/>
              </w:numPr>
              <w:ind w:firstLineChars="0"/>
              <w:jc w:val="center"/>
              <w:rPr>
                <w:rFonts w:hint="eastAsia" w:ascii="宋体" w:hAnsi="宋体" w:eastAsia="宋体" w:cs="宋体"/>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5547799E">
            <w:pPr>
              <w:pStyle w:val="134"/>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汽车底盘构造与维修</w:t>
            </w:r>
          </w:p>
        </w:tc>
        <w:tc>
          <w:tcPr>
            <w:tcW w:w="1951" w:type="pct"/>
            <w:tcBorders>
              <w:top w:val="single" w:color="000000" w:sz="4" w:space="0"/>
              <w:left w:val="single" w:color="000000" w:sz="4" w:space="0"/>
              <w:bottom w:val="single" w:color="000000" w:sz="4" w:space="0"/>
              <w:right w:val="single" w:color="000000" w:sz="4" w:space="0"/>
            </w:tcBorders>
            <w:vAlign w:val="center"/>
          </w:tcPr>
          <w:p w14:paraId="77FC5EA4">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依据国家和国际标准，使用诊断设备和仪器对底盘系统检修</w:t>
            </w:r>
            <w:r>
              <w:rPr>
                <w:rFonts w:hint="default" w:ascii="宋体" w:hAnsi="宋体" w:eastAsia="宋体" w:cs="宋体"/>
                <w:sz w:val="21"/>
                <w:szCs w:val="21"/>
                <w:lang w:eastAsia="zh-CN"/>
              </w:rPr>
              <w:t>‌：包括传动系（离合器、变速器、万向节）、行驶系（悬架、车桥）、转向系（转向器、传动机构）和制动系（刹车盘、ABS系统）的故障诊断与部件更换</w:t>
            </w:r>
            <w:r>
              <w:rPr>
                <w:rFonts w:hint="eastAsia" w:ascii="宋体" w:hAnsi="宋体" w:eastAsia="宋体" w:cs="宋体"/>
                <w:sz w:val="21"/>
                <w:szCs w:val="21"/>
                <w:lang w:eastAsia="zh-CN"/>
              </w:rPr>
              <w:t>。</w:t>
            </w:r>
          </w:p>
          <w:p w14:paraId="167244DF">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 依据产品工艺文件，运用相关</w:t>
            </w:r>
            <w:r>
              <w:rPr>
                <w:rFonts w:hint="eastAsia" w:ascii="宋体" w:hAnsi="宋体" w:eastAsia="宋体" w:cs="宋体"/>
                <w:sz w:val="21"/>
                <w:szCs w:val="21"/>
                <w:lang w:val="en-US" w:eastAsia="zh-CN"/>
              </w:rPr>
              <w:t>仪器</w:t>
            </w:r>
            <w:r>
              <w:rPr>
                <w:rFonts w:hint="eastAsia" w:ascii="宋体" w:hAnsi="宋体" w:eastAsia="宋体" w:cs="宋体"/>
                <w:sz w:val="21"/>
                <w:szCs w:val="21"/>
                <w:lang w:eastAsia="zh-CN"/>
              </w:rPr>
              <w:t>进行日常维护检查‌：定期检查底盘锈蚀、胶套老化、油液渗漏等问题，确保车架刚性及连接件牢固性。</w:t>
            </w:r>
          </w:p>
        </w:tc>
        <w:tc>
          <w:tcPr>
            <w:tcW w:w="1022" w:type="pct"/>
            <w:tcBorders>
              <w:top w:val="single" w:color="000000" w:sz="4" w:space="0"/>
              <w:left w:val="single" w:color="000000" w:sz="4" w:space="0"/>
              <w:bottom w:val="single" w:color="000000" w:sz="4" w:space="0"/>
              <w:right w:val="single" w:color="000000" w:sz="4" w:space="0"/>
            </w:tcBorders>
            <w:vAlign w:val="center"/>
          </w:tcPr>
          <w:p w14:paraId="24ED22CD">
            <w:pPr>
              <w:pStyle w:val="134"/>
              <w:ind w:left="103"/>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掌握底盘四大系统（传动/行驶/转向/制动）的组成及协同原理，理解车架、悬架等核心部件功能。</w:t>
            </w:r>
          </w:p>
          <w:p w14:paraId="0FCE93D0">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②熟练使用举升机、扭矩扳手等工具，具备机械测量（如纵梁垂直度）和电子诊断（ABS系统）能力。</w:t>
            </w:r>
          </w:p>
          <w:p w14:paraId="7CAFECE1">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③遵循操作流程（如制动液更换标准），注重防锈处理与环保废弃物处置。</w:t>
            </w:r>
          </w:p>
        </w:tc>
      </w:tr>
      <w:tr w14:paraId="77B97AA5">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B844B9">
            <w:pPr>
              <w:pStyle w:val="34"/>
              <w:numPr>
                <w:ilvl w:val="0"/>
                <w:numId w:val="5"/>
              </w:numPr>
              <w:ind w:firstLineChars="0"/>
              <w:jc w:val="center"/>
              <w:rPr>
                <w:rFonts w:hint="eastAsia" w:ascii="宋体" w:hAnsi="宋体" w:eastAsia="宋体" w:cs="宋体"/>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14311C1D">
            <w:pPr>
              <w:pStyle w:val="134"/>
              <w:keepNext w:val="0"/>
              <w:keepLines w:val="0"/>
              <w:pageBreakBefore w:val="0"/>
              <w:widowControl w:val="0"/>
              <w:kinsoku/>
              <w:wordWrap/>
              <w:overflowPunct/>
              <w:topLinePunct w:val="0"/>
              <w:autoSpaceDE/>
              <w:autoSpaceDN/>
              <w:bidi w:val="0"/>
              <w:adjustRightInd/>
              <w:snapToGrid/>
              <w:spacing w:line="286" w:lineRule="exact"/>
              <w:ind w:left="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汽车智能网联技术</w:t>
            </w:r>
          </w:p>
        </w:tc>
        <w:tc>
          <w:tcPr>
            <w:tcW w:w="1951" w:type="pct"/>
            <w:tcBorders>
              <w:top w:val="single" w:color="000000" w:sz="4" w:space="0"/>
              <w:left w:val="single" w:color="000000" w:sz="4" w:space="0"/>
              <w:bottom w:val="single" w:color="000000" w:sz="4" w:space="0"/>
              <w:right w:val="single" w:color="000000" w:sz="4" w:space="0"/>
            </w:tcBorders>
            <w:vAlign w:val="center"/>
          </w:tcPr>
          <w:p w14:paraId="61806C78">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依据国家和国际标准，使用诊断设备和仪器对汽车车载 LIN总线、CAN 总线、以太网等相关电路或网关进行装调检测。</w:t>
            </w:r>
          </w:p>
          <w:p w14:paraId="3B105323">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 依据产品工艺文件，运用相关软件进行数据监测、安全防护与故障诊断。</w:t>
            </w:r>
          </w:p>
        </w:tc>
        <w:tc>
          <w:tcPr>
            <w:tcW w:w="1022" w:type="pct"/>
            <w:tcBorders>
              <w:top w:val="single" w:color="000000" w:sz="4" w:space="0"/>
              <w:left w:val="single" w:color="000000" w:sz="4" w:space="0"/>
              <w:bottom w:val="single" w:color="000000" w:sz="4" w:space="0"/>
              <w:right w:val="single" w:color="000000" w:sz="4" w:space="0"/>
            </w:tcBorders>
            <w:vAlign w:val="center"/>
          </w:tcPr>
          <w:p w14:paraId="3A0AE74D">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掌握汽车总线的结构、工作原理，了解汽车总线的开发方法和故障诊断流程。</w:t>
            </w:r>
          </w:p>
          <w:p w14:paraId="113C4187">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②具备使用设备对汽车计算机的程序进行加载、编码与数据传输的能力。</w:t>
            </w:r>
          </w:p>
          <w:p w14:paraId="28C05D6F">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③能够进行车载网络信息安全防护与测试。</w:t>
            </w:r>
          </w:p>
          <w:p w14:paraId="7C522DF1">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④具备故障诊断与分析、线路修复等能力。</w:t>
            </w:r>
          </w:p>
        </w:tc>
      </w:tr>
      <w:tr w14:paraId="5E256063">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1A31523">
            <w:pPr>
              <w:pStyle w:val="34"/>
              <w:numPr>
                <w:ilvl w:val="0"/>
                <w:numId w:val="5"/>
              </w:numPr>
              <w:ind w:firstLineChars="0"/>
              <w:jc w:val="center"/>
              <w:rPr>
                <w:rFonts w:hint="eastAsia" w:ascii="宋体" w:hAnsi="宋体" w:eastAsia="宋体" w:cs="宋体"/>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086EA9AC">
            <w:pPr>
              <w:pStyle w:val="134"/>
              <w:spacing w:line="286" w:lineRule="exact"/>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UG</w:t>
            </w:r>
          </w:p>
        </w:tc>
        <w:tc>
          <w:tcPr>
            <w:tcW w:w="1951" w:type="pct"/>
            <w:tcBorders>
              <w:top w:val="single" w:color="000000" w:sz="4" w:space="0"/>
              <w:left w:val="single" w:color="000000" w:sz="4" w:space="0"/>
              <w:bottom w:val="single" w:color="000000" w:sz="4" w:space="0"/>
              <w:right w:val="single" w:color="000000" w:sz="4" w:space="0"/>
            </w:tcBorders>
            <w:vAlign w:val="center"/>
          </w:tcPr>
          <w:p w14:paraId="308F26F6">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①根据工程图纸绘制要求，使用UG软件完成零部件及装配体结构建模，并生成工程图。</w:t>
            </w:r>
          </w:p>
          <w:p w14:paraId="2755F2BE">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②分析零部件工程图和加工要求，使用UG软件，模拟零件加工过程，仿真并设计加工刀路。</w:t>
            </w:r>
          </w:p>
          <w:p w14:paraId="1F90CB93">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③依据数字化仿真模拟加工过程，优化数控加工程序。</w:t>
            </w:r>
          </w:p>
          <w:p w14:paraId="186FE9AD">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④利用计算机通信软件，完成与数控机床之间的数据交互。</w:t>
            </w:r>
          </w:p>
        </w:tc>
        <w:tc>
          <w:tcPr>
            <w:tcW w:w="1022" w:type="pct"/>
            <w:tcBorders>
              <w:top w:val="single" w:color="000000" w:sz="4" w:space="0"/>
              <w:left w:val="single" w:color="000000" w:sz="4" w:space="0"/>
              <w:bottom w:val="single" w:color="000000" w:sz="4" w:space="0"/>
              <w:right w:val="single" w:color="000000" w:sz="4" w:space="0"/>
            </w:tcBorders>
            <w:vAlign w:val="center"/>
          </w:tcPr>
          <w:p w14:paraId="3EA1D761">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①掌握UG软件的应用，具备机械零部件三维模型创建及工程图生成的能力。</w:t>
            </w:r>
          </w:p>
          <w:p w14:paraId="6858A18A">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②掌握利用UG软件的应用，具备运用软件实现刀路设计、刀路仿真和后置处理的能力。</w:t>
            </w:r>
          </w:p>
          <w:p w14:paraId="079CAA19">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③掌握UG软件的应用，具备运用软件实现刀路设计、刀路仿真和后置处理的能力。</w:t>
            </w:r>
          </w:p>
          <w:p w14:paraId="1864628C">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④掌握复杂零件结构特征与加工过程的分析方法和利用UG软件进行加工程序自动编制的能力。</w:t>
            </w:r>
          </w:p>
        </w:tc>
      </w:tr>
      <w:tr w14:paraId="2FACF997">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5AEF9366">
            <w:pPr>
              <w:pStyle w:val="34"/>
              <w:numPr>
                <w:ilvl w:val="0"/>
                <w:numId w:val="5"/>
              </w:numPr>
              <w:ind w:firstLineChars="0"/>
              <w:jc w:val="center"/>
              <w:rPr>
                <w:rFonts w:hint="eastAsia" w:ascii="宋体" w:hAnsi="宋体" w:eastAsia="宋体" w:cs="宋体"/>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33F69D4D">
            <w:pPr>
              <w:pStyle w:val="134"/>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汽车保险与理赔</w:t>
            </w:r>
          </w:p>
        </w:tc>
        <w:tc>
          <w:tcPr>
            <w:tcW w:w="1951" w:type="pct"/>
            <w:tcBorders>
              <w:top w:val="single" w:color="000000" w:sz="4" w:space="0"/>
              <w:left w:val="single" w:color="000000" w:sz="4" w:space="0"/>
              <w:bottom w:val="single" w:color="000000" w:sz="4" w:space="0"/>
              <w:right w:val="single" w:color="000000" w:sz="4" w:space="0"/>
            </w:tcBorders>
            <w:vAlign w:val="center"/>
          </w:tcPr>
          <w:p w14:paraId="16FD665F">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依据汽车保险出险要求，可以进行</w:t>
            </w:r>
            <w:r>
              <w:rPr>
                <w:rFonts w:hint="eastAsia" w:ascii="宋体" w:hAnsi="宋体" w:eastAsia="宋体" w:cs="宋体"/>
                <w:sz w:val="21"/>
                <w:szCs w:val="21"/>
                <w:lang w:eastAsia="zh-CN"/>
              </w:rPr>
              <w:t>案件受理与审核、‌查勘定损、‌理赔协调</w:t>
            </w:r>
            <w:r>
              <w:rPr>
                <w:rFonts w:hint="eastAsia" w:ascii="宋体" w:hAnsi="宋体" w:eastAsia="宋体" w:cs="宋体"/>
                <w:sz w:val="21"/>
                <w:szCs w:val="21"/>
                <w:lang w:val="en-US" w:eastAsia="zh-CN"/>
              </w:rPr>
              <w:t>和</w:t>
            </w:r>
            <w:r>
              <w:rPr>
                <w:rFonts w:hint="eastAsia" w:ascii="宋体" w:hAnsi="宋体" w:eastAsia="宋体" w:cs="宋体"/>
                <w:sz w:val="21"/>
                <w:szCs w:val="21"/>
                <w:lang w:eastAsia="zh-CN"/>
              </w:rPr>
              <w:t>‌数据管理。</w:t>
            </w:r>
          </w:p>
        </w:tc>
        <w:tc>
          <w:tcPr>
            <w:tcW w:w="1022" w:type="pct"/>
            <w:tcBorders>
              <w:top w:val="single" w:color="000000" w:sz="4" w:space="0"/>
              <w:left w:val="single" w:color="000000" w:sz="4" w:space="0"/>
              <w:bottom w:val="single" w:color="000000" w:sz="4" w:space="0"/>
              <w:right w:val="single" w:color="000000" w:sz="4" w:space="0"/>
            </w:tcBorders>
            <w:vAlign w:val="center"/>
          </w:tcPr>
          <w:p w14:paraId="764FB566">
            <w:pPr>
              <w:pStyle w:val="134"/>
              <w:ind w:left="103"/>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掌握熟悉车险条款（如主险/附加险）、汽车构造及维修成本测算。</w:t>
            </w:r>
          </w:p>
          <w:p w14:paraId="1F71D21D">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②熟练具备沟通谈判能力（处理客户纠纷）、办公软件操作（Excel数据分析）及基础驾驶技能。</w:t>
            </w:r>
          </w:p>
          <w:p w14:paraId="467D8CDE">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③需持公估人证书等资质，严守时效性（如72小时内完成定损），保持客观公正。</w:t>
            </w:r>
          </w:p>
        </w:tc>
      </w:tr>
      <w:tr w14:paraId="720A331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9EFEA3A">
            <w:pPr>
              <w:pStyle w:val="34"/>
              <w:numPr>
                <w:ilvl w:val="0"/>
                <w:numId w:val="5"/>
              </w:numPr>
              <w:ind w:firstLineChars="0"/>
              <w:jc w:val="center"/>
              <w:rPr>
                <w:rFonts w:hint="eastAsia" w:ascii="宋体" w:hAnsi="宋体" w:eastAsia="宋体" w:cs="宋体"/>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23F97AC7">
            <w:pPr>
              <w:pStyle w:val="134"/>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汽车电器设备构造维修</w:t>
            </w:r>
          </w:p>
        </w:tc>
        <w:tc>
          <w:tcPr>
            <w:tcW w:w="1951" w:type="pct"/>
            <w:tcBorders>
              <w:top w:val="single" w:color="000000" w:sz="4" w:space="0"/>
              <w:left w:val="single" w:color="000000" w:sz="4" w:space="0"/>
              <w:bottom w:val="single" w:color="000000" w:sz="4" w:space="0"/>
              <w:right w:val="single" w:color="000000" w:sz="4" w:space="0"/>
            </w:tcBorders>
            <w:vAlign w:val="center"/>
          </w:tcPr>
          <w:p w14:paraId="34E7F79D">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依据车辆维修手册，运用相关工具和仪器设备进行电路查找确认零部件位置，进行起动系统、汽车照明及信号灯系统、汽车仪表系统、汽车空调、汽车辅助电气设备安装、调试、检测和排故。</w:t>
            </w:r>
          </w:p>
        </w:tc>
        <w:tc>
          <w:tcPr>
            <w:tcW w:w="1022" w:type="pct"/>
            <w:tcBorders>
              <w:top w:val="single" w:color="000000" w:sz="4" w:space="0"/>
              <w:left w:val="single" w:color="000000" w:sz="4" w:space="0"/>
              <w:bottom w:val="single" w:color="000000" w:sz="4" w:space="0"/>
              <w:right w:val="single" w:color="000000" w:sz="4" w:space="0"/>
            </w:tcBorders>
            <w:vAlign w:val="center"/>
          </w:tcPr>
          <w:p w14:paraId="738B8450">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熟悉汽车电路原理、电气设备结构原</w:t>
            </w:r>
          </w:p>
          <w:p w14:paraId="3013C35E">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理、安装调试流程、检测程序等知识。</w:t>
            </w:r>
          </w:p>
          <w:p w14:paraId="47976126">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②能够进行汽车电气设备检测、诊断与</w:t>
            </w:r>
          </w:p>
          <w:p w14:paraId="54A2D0B2">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维修。</w:t>
            </w:r>
          </w:p>
          <w:p w14:paraId="42131B46">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③具备现场管理和服务沟通的能力</w:t>
            </w:r>
          </w:p>
        </w:tc>
      </w:tr>
      <w:tr w14:paraId="4C5D102A">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5680A1">
            <w:pPr>
              <w:pStyle w:val="34"/>
              <w:numPr>
                <w:ilvl w:val="0"/>
                <w:numId w:val="5"/>
              </w:numPr>
              <w:ind w:firstLineChars="0"/>
              <w:jc w:val="center"/>
              <w:rPr>
                <w:rFonts w:hint="eastAsia" w:ascii="宋体" w:hAnsi="宋体" w:eastAsia="宋体" w:cs="宋体"/>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6D91456D">
            <w:pPr>
              <w:pStyle w:val="134"/>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汽车检测诊断技术</w:t>
            </w:r>
          </w:p>
        </w:tc>
        <w:tc>
          <w:tcPr>
            <w:tcW w:w="1951" w:type="pct"/>
            <w:tcBorders>
              <w:top w:val="single" w:color="000000" w:sz="4" w:space="0"/>
              <w:left w:val="single" w:color="000000" w:sz="4" w:space="0"/>
              <w:bottom w:val="single" w:color="000000" w:sz="4" w:space="0"/>
              <w:right w:val="single" w:color="000000" w:sz="4" w:space="0"/>
            </w:tcBorders>
            <w:vAlign w:val="center"/>
          </w:tcPr>
          <w:p w14:paraId="408BF83B">
            <w:pPr>
              <w:pStyle w:val="134"/>
              <w:spacing w:before="102"/>
              <w:ind w:left="100" w:right="102"/>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 依据产品手册，使用专用工具和诊断设备对通过检测线对车辆外观、底盘、发动机及电子系统进行全面检查，生成检测报告作为维修依据。</w:t>
            </w:r>
          </w:p>
          <w:p w14:paraId="7FDA7D66">
            <w:pPr>
              <w:pStyle w:val="134"/>
              <w:spacing w:before="102"/>
              <w:ind w:left="100" w:right="102"/>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 能够使用OBD诊断仪读取故障代码，分析排放控制、电气系统等问题，提出维修建议。</w:t>
            </w:r>
          </w:p>
          <w:p w14:paraId="7921557D">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③ 能够进行售后客户服务与现场技术支持。</w:t>
            </w:r>
          </w:p>
        </w:tc>
        <w:tc>
          <w:tcPr>
            <w:tcW w:w="1022" w:type="pct"/>
            <w:tcBorders>
              <w:top w:val="single" w:color="000000" w:sz="4" w:space="0"/>
              <w:left w:val="single" w:color="000000" w:sz="4" w:space="0"/>
              <w:bottom w:val="single" w:color="000000" w:sz="4" w:space="0"/>
              <w:right w:val="single" w:color="000000" w:sz="4" w:space="0"/>
            </w:tcBorders>
            <w:vAlign w:val="center"/>
          </w:tcPr>
          <w:p w14:paraId="0ED99606">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需掌握OBD系统检测（故障代码解析）、机械测量（如轮胎花纹深度）及尾气排放分析。</w:t>
            </w:r>
          </w:p>
          <w:p w14:paraId="595BD553">
            <w:pPr>
              <w:pStyle w:val="134"/>
              <w:ind w:left="103"/>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②遵循行业标准（如GB/T 18344）完成检测流程，准确填写技术档案。</w:t>
            </w:r>
          </w:p>
        </w:tc>
      </w:tr>
    </w:tbl>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rFonts w:hint="eastAsia" w:eastAsia="宋体"/>
          <w:sz w:val="24"/>
          <w:lang w:eastAsia="zh-CN"/>
        </w:rPr>
      </w:pPr>
      <w:r>
        <w:rPr>
          <w:rFonts w:hint="eastAsia"/>
          <w:sz w:val="24"/>
        </w:rPr>
        <w:t>汽车事故鉴定评估</w:t>
      </w:r>
      <w:r>
        <w:rPr>
          <w:rFonts w:hint="eastAsia"/>
          <w:sz w:val="24"/>
          <w:lang w:eastAsia="zh-CN"/>
        </w:rPr>
        <w:t>、汽车美容与装饰、新能源汽车电气技术、二手车评估与交易、汽车电控系统研发与标定</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160A36B8">
      <w:pPr>
        <w:snapToGrid w:val="0"/>
        <w:spacing w:line="360" w:lineRule="auto"/>
        <w:ind w:firstLine="480" w:firstLineChars="200"/>
        <w:contextualSpacing/>
        <w:rPr>
          <w:sz w:val="24"/>
        </w:rPr>
      </w:pPr>
      <w:r>
        <w:rPr>
          <w:sz w:val="24"/>
        </w:rPr>
        <w:t>（1）实训</w:t>
      </w:r>
    </w:p>
    <w:p w14:paraId="51FA2AAD">
      <w:pPr>
        <w:snapToGrid w:val="0"/>
        <w:spacing w:line="360" w:lineRule="auto"/>
        <w:ind w:firstLine="480" w:firstLineChars="200"/>
        <w:contextualSpacing/>
        <w:rPr>
          <w:rFonts w:hint="eastAsia" w:eastAsia="宋体"/>
          <w:sz w:val="24"/>
          <w:lang w:eastAsia="zh-CN"/>
        </w:rPr>
      </w:pPr>
      <w:r>
        <w:rPr>
          <w:rFonts w:hint="eastAsia"/>
          <w:sz w:val="24"/>
        </w:rPr>
        <w:t>在校内外进行</w:t>
      </w:r>
      <w:r>
        <w:rPr>
          <w:rFonts w:hint="eastAsia"/>
          <w:sz w:val="24"/>
          <w:lang w:val="en-US" w:eastAsia="zh-CN"/>
        </w:rPr>
        <w:t>金工实训、机械制图、</w:t>
      </w:r>
      <w:r>
        <w:rPr>
          <w:rFonts w:hint="eastAsia"/>
          <w:sz w:val="24"/>
        </w:rPr>
        <w:t>汽车电工电子、汽车</w:t>
      </w:r>
      <w:r>
        <w:rPr>
          <w:rFonts w:hint="eastAsia"/>
          <w:sz w:val="24"/>
          <w:lang w:val="en-US" w:eastAsia="zh-CN"/>
        </w:rPr>
        <w:t>发动机</w:t>
      </w:r>
      <w:r>
        <w:rPr>
          <w:rFonts w:hint="eastAsia"/>
          <w:sz w:val="24"/>
        </w:rPr>
        <w:t>拆装、汽车</w:t>
      </w:r>
      <w:r>
        <w:rPr>
          <w:rFonts w:hint="eastAsia"/>
          <w:sz w:val="24"/>
          <w:lang w:val="en-US" w:eastAsia="zh-CN"/>
        </w:rPr>
        <w:t>底盘拆装</w:t>
      </w:r>
      <w:r>
        <w:rPr>
          <w:rFonts w:hint="eastAsia"/>
          <w:sz w:val="24"/>
        </w:rPr>
        <w:t>、汽车</w:t>
      </w:r>
      <w:r>
        <w:rPr>
          <w:rFonts w:hint="eastAsia"/>
          <w:sz w:val="24"/>
          <w:lang w:val="en-US" w:eastAsia="zh-CN"/>
        </w:rPr>
        <w:t>维修</w:t>
      </w:r>
      <w:r>
        <w:rPr>
          <w:rFonts w:hint="eastAsia"/>
          <w:sz w:val="24"/>
        </w:rPr>
        <w:t>综合、</w:t>
      </w:r>
      <w:r>
        <w:rPr>
          <w:rFonts w:hint="eastAsia"/>
          <w:sz w:val="24"/>
          <w:lang w:val="en-US" w:eastAsia="zh-CN"/>
        </w:rPr>
        <w:t>电机与电气、</w:t>
      </w:r>
      <w:r>
        <w:rPr>
          <w:rFonts w:hint="eastAsia"/>
          <w:sz w:val="24"/>
        </w:rPr>
        <w:t>毕业综合实践、毕业设计等实训，包括单项技能实训、综合能力实训、生产性实训等</w:t>
      </w:r>
      <w:r>
        <w:rPr>
          <w:rFonts w:hint="eastAsia"/>
          <w:sz w:val="24"/>
          <w:lang w:eastAsia="zh-CN"/>
        </w:rPr>
        <w:t>。</w:t>
      </w:r>
    </w:p>
    <w:p w14:paraId="20E1E692">
      <w:pPr>
        <w:snapToGrid w:val="0"/>
        <w:spacing w:line="360" w:lineRule="auto"/>
        <w:ind w:firstLine="480" w:firstLineChars="200"/>
        <w:contextualSpacing/>
        <w:rPr>
          <w:sz w:val="24"/>
        </w:rPr>
      </w:pPr>
      <w:r>
        <w:rPr>
          <w:sz w:val="24"/>
        </w:rPr>
        <w:t>（2）实习</w:t>
      </w:r>
    </w:p>
    <w:p w14:paraId="28A1C25F">
      <w:pPr>
        <w:snapToGrid w:val="0"/>
        <w:spacing w:line="360" w:lineRule="auto"/>
        <w:ind w:firstLine="480" w:firstLineChars="200"/>
        <w:contextualSpacing/>
        <w:rPr>
          <w:rFonts w:hint="eastAsia"/>
          <w:sz w:val="24"/>
        </w:rPr>
      </w:pPr>
      <w:r>
        <w:rPr>
          <w:rFonts w:hint="eastAsia"/>
          <w:sz w:val="24"/>
        </w:rPr>
        <w:t>在汽车行业的汽车及零部件产品研发、生产制造、营运服务企业进行汽车电子技术专业实习，包括认识实习和岗位实习。学校应建立稳定、够用的实习基地，选派专门的实习指导教师和人员，组织开展专业对口实习，加强对学生实习的指导、管理和考核。</w:t>
      </w:r>
    </w:p>
    <w:p w14:paraId="1FEB4425">
      <w:pPr>
        <w:snapToGrid w:val="0"/>
        <w:spacing w:line="360" w:lineRule="auto"/>
        <w:ind w:firstLine="480" w:firstLineChars="200"/>
        <w:contextualSpacing/>
        <w:rPr>
          <w:sz w:val="24"/>
        </w:rPr>
      </w:pPr>
      <w:r>
        <w:rPr>
          <w:rFonts w:hint="eastAsia"/>
          <w:sz w:val="24"/>
        </w:rPr>
        <w:t>实习实训既是实践性教学，也是专业课教学的重要内容，应注重理论与实践一体化教学。学校可根据技能人才培养规律，结合企业生产周期，优化学期安排，灵活开展实践性教学。应严格执行《职业学校学生实习管理规定》和相关专业岗位实习标准要求。</w:t>
      </w:r>
    </w:p>
    <w:p w14:paraId="15572B96">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23D6E8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eastAsia"/>
          <w:sz w:val="24"/>
        </w:rPr>
        <w:t>学校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65CEE8E7">
      <w:pPr>
        <w:snapToGrid w:val="0"/>
        <w:spacing w:line="360" w:lineRule="auto"/>
        <w:ind w:firstLine="480" w:firstLineChars="200"/>
        <w:contextualSpacing/>
        <w:rPr>
          <w:sz w:val="24"/>
        </w:rPr>
      </w:pPr>
    </w:p>
    <w:p w14:paraId="18331832">
      <w:pPr>
        <w:snapToGrid w:val="0"/>
        <w:spacing w:line="360" w:lineRule="auto"/>
        <w:ind w:firstLine="480" w:firstLineChars="200"/>
        <w:contextualSpacing/>
        <w:rPr>
          <w:sz w:val="24"/>
        </w:rPr>
      </w:pPr>
    </w:p>
    <w:p w14:paraId="01A4CAFA">
      <w:pPr>
        <w:snapToGrid w:val="0"/>
        <w:spacing w:line="360" w:lineRule="auto"/>
        <w:ind w:firstLine="480" w:firstLineChars="200"/>
        <w:contextualSpacing/>
        <w:rPr>
          <w:sz w:val="24"/>
        </w:rPr>
      </w:pPr>
    </w:p>
    <w:p w14:paraId="66676517">
      <w:pPr>
        <w:snapToGrid w:val="0"/>
        <w:spacing w:line="360" w:lineRule="auto"/>
        <w:ind w:firstLine="480" w:firstLineChars="200"/>
        <w:contextualSpacing/>
        <w:rPr>
          <w:sz w:val="24"/>
        </w:rPr>
      </w:pPr>
    </w:p>
    <w:p w14:paraId="57F6A089">
      <w:pPr>
        <w:snapToGrid w:val="0"/>
        <w:spacing w:line="360" w:lineRule="auto"/>
        <w:ind w:firstLine="480" w:firstLineChars="200"/>
        <w:contextualSpacing/>
        <w:rPr>
          <w:sz w:val="24"/>
        </w:rPr>
      </w:pPr>
    </w:p>
    <w:p w14:paraId="02619482">
      <w:pPr>
        <w:snapToGrid w:val="0"/>
        <w:spacing w:line="360" w:lineRule="auto"/>
        <w:ind w:firstLine="480" w:firstLineChars="200"/>
        <w:contextualSpacing/>
        <w:rPr>
          <w:sz w:val="24"/>
        </w:rPr>
      </w:pP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1"/>
        <w:gridCol w:w="1721"/>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0"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0"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0"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89"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0"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720</w:t>
            </w:r>
          </w:p>
        </w:tc>
        <w:tc>
          <w:tcPr>
            <w:tcW w:w="890"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406</w:t>
            </w:r>
          </w:p>
        </w:tc>
        <w:tc>
          <w:tcPr>
            <w:tcW w:w="890"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314</w:t>
            </w:r>
          </w:p>
        </w:tc>
        <w:tc>
          <w:tcPr>
            <w:tcW w:w="889" w:type="pct"/>
            <w:shd w:val="clear" w:color="auto" w:fill="auto"/>
            <w:noWrap/>
            <w:vAlign w:val="center"/>
          </w:tcPr>
          <w:p w14:paraId="2A26FCF9">
            <w:pPr>
              <w:snapToGrid w:val="0"/>
              <w:spacing w:line="360" w:lineRule="auto"/>
              <w:jc w:val="center"/>
              <w:rPr>
                <w:b/>
                <w:sz w:val="24"/>
                <w:szCs w:val="28"/>
              </w:rPr>
            </w:pPr>
            <w:r>
              <w:rPr>
                <w:rFonts w:hint="eastAsia"/>
                <w:b/>
                <w:sz w:val="24"/>
                <w:szCs w:val="28"/>
                <w:lang w:val="en-US" w:eastAsia="zh-CN"/>
              </w:rPr>
              <w:t>43.6％</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0"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320</w:t>
            </w:r>
          </w:p>
        </w:tc>
        <w:tc>
          <w:tcPr>
            <w:tcW w:w="890"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200</w:t>
            </w:r>
          </w:p>
        </w:tc>
        <w:tc>
          <w:tcPr>
            <w:tcW w:w="890"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120</w:t>
            </w:r>
          </w:p>
        </w:tc>
        <w:tc>
          <w:tcPr>
            <w:tcW w:w="889" w:type="pct"/>
            <w:shd w:val="clear" w:color="auto" w:fill="auto"/>
            <w:noWrap/>
            <w:vAlign w:val="center"/>
          </w:tcPr>
          <w:p w14:paraId="550155A1">
            <w:pPr>
              <w:snapToGrid w:val="0"/>
              <w:spacing w:line="360" w:lineRule="auto"/>
              <w:jc w:val="center"/>
              <w:rPr>
                <w:b/>
                <w:sz w:val="24"/>
                <w:szCs w:val="28"/>
              </w:rPr>
            </w:pPr>
            <w:r>
              <w:rPr>
                <w:rFonts w:hint="eastAsia"/>
                <w:b/>
                <w:sz w:val="24"/>
                <w:szCs w:val="28"/>
                <w:lang w:val="en-US" w:eastAsia="zh-CN"/>
              </w:rPr>
              <w:t>37.5％</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0"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384</w:t>
            </w:r>
          </w:p>
        </w:tc>
        <w:tc>
          <w:tcPr>
            <w:tcW w:w="890"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268</w:t>
            </w:r>
          </w:p>
        </w:tc>
        <w:tc>
          <w:tcPr>
            <w:tcW w:w="890"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116</w:t>
            </w:r>
          </w:p>
        </w:tc>
        <w:tc>
          <w:tcPr>
            <w:tcW w:w="889" w:type="pct"/>
            <w:shd w:val="clear" w:color="auto" w:fill="auto"/>
            <w:noWrap/>
            <w:vAlign w:val="center"/>
          </w:tcPr>
          <w:p w14:paraId="1DC1F6D4">
            <w:pPr>
              <w:snapToGrid w:val="0"/>
              <w:spacing w:line="360" w:lineRule="auto"/>
              <w:jc w:val="center"/>
              <w:rPr>
                <w:b/>
                <w:sz w:val="24"/>
                <w:szCs w:val="28"/>
              </w:rPr>
            </w:pPr>
            <w:r>
              <w:rPr>
                <w:rFonts w:hint="eastAsia"/>
                <w:b/>
                <w:sz w:val="24"/>
                <w:szCs w:val="28"/>
                <w:lang w:val="en-US" w:eastAsia="zh-CN"/>
              </w:rPr>
              <w:t>30.2％</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0"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0"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0"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89" w:type="pct"/>
            <w:shd w:val="clear" w:color="auto" w:fill="auto"/>
            <w:noWrap/>
            <w:vAlign w:val="center"/>
          </w:tcPr>
          <w:p w14:paraId="2BCF1B97">
            <w:pPr>
              <w:snapToGrid w:val="0"/>
              <w:spacing w:line="360" w:lineRule="auto"/>
              <w:jc w:val="center"/>
              <w:rPr>
                <w:b/>
                <w:sz w:val="24"/>
                <w:szCs w:val="28"/>
              </w:rPr>
            </w:pPr>
            <w:r>
              <w:rPr>
                <w:rFonts w:hint="eastAsia"/>
                <w:b/>
                <w:sz w:val="24"/>
                <w:szCs w:val="28"/>
                <w:lang w:val="en-US" w:eastAsia="zh-CN"/>
              </w:rPr>
              <w:t>37.5％</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0" w:type="pct"/>
            <w:shd w:val="clear" w:color="auto" w:fill="auto"/>
            <w:noWrap/>
            <w:vAlign w:val="center"/>
          </w:tcPr>
          <w:p w14:paraId="02581A08">
            <w:pPr>
              <w:snapToGrid w:val="0"/>
              <w:spacing w:line="360" w:lineRule="auto"/>
              <w:jc w:val="center"/>
              <w:rPr>
                <w:rFonts w:hint="default" w:ascii="Times New Roman" w:hAnsi="Times New Roman" w:eastAsia="宋体" w:cs="Times New Roman"/>
                <w:b/>
                <w:kern w:val="2"/>
                <w:sz w:val="24"/>
                <w:szCs w:val="28"/>
                <w:lang w:val="en-US" w:eastAsia="zh-CN" w:bidi="ar-SA"/>
              </w:rPr>
            </w:pPr>
            <w:r>
              <w:rPr>
                <w:rFonts w:hint="eastAsia"/>
                <w:b/>
                <w:sz w:val="24"/>
                <w:szCs w:val="28"/>
                <w:lang w:val="en-US" w:eastAsia="zh-CN"/>
              </w:rPr>
              <w:t>192</w:t>
            </w:r>
          </w:p>
        </w:tc>
        <w:tc>
          <w:tcPr>
            <w:tcW w:w="890" w:type="pct"/>
            <w:shd w:val="clear" w:color="auto" w:fill="auto"/>
            <w:noWrap/>
            <w:vAlign w:val="center"/>
          </w:tcPr>
          <w:p w14:paraId="08EB559D">
            <w:pPr>
              <w:snapToGrid w:val="0"/>
              <w:spacing w:line="360" w:lineRule="auto"/>
              <w:jc w:val="center"/>
              <w:rPr>
                <w:rFonts w:hint="default" w:ascii="Times New Roman" w:hAnsi="Times New Roman" w:eastAsia="宋体" w:cs="Times New Roman"/>
                <w:b/>
                <w:kern w:val="2"/>
                <w:sz w:val="24"/>
                <w:szCs w:val="28"/>
                <w:lang w:val="en-US" w:eastAsia="zh-CN" w:bidi="ar-SA"/>
              </w:rPr>
            </w:pPr>
            <w:r>
              <w:rPr>
                <w:rFonts w:hint="eastAsia"/>
                <w:b/>
                <w:sz w:val="24"/>
                <w:szCs w:val="28"/>
                <w:lang w:val="en-US" w:eastAsia="zh-CN"/>
              </w:rPr>
              <w:t>96</w:t>
            </w:r>
          </w:p>
        </w:tc>
        <w:tc>
          <w:tcPr>
            <w:tcW w:w="890" w:type="pct"/>
            <w:shd w:val="clear" w:color="auto" w:fill="auto"/>
            <w:noWrap/>
            <w:vAlign w:val="center"/>
          </w:tcPr>
          <w:p w14:paraId="47401E10">
            <w:pPr>
              <w:snapToGrid w:val="0"/>
              <w:spacing w:line="360" w:lineRule="auto"/>
              <w:jc w:val="center"/>
              <w:rPr>
                <w:rFonts w:hint="default" w:ascii="Times New Roman" w:hAnsi="Times New Roman" w:eastAsia="宋体" w:cs="Times New Roman"/>
                <w:b/>
                <w:kern w:val="2"/>
                <w:sz w:val="24"/>
                <w:szCs w:val="28"/>
                <w:lang w:val="en-US" w:eastAsia="zh-CN" w:bidi="ar-SA"/>
              </w:rPr>
            </w:pPr>
            <w:r>
              <w:rPr>
                <w:rFonts w:hint="eastAsia"/>
                <w:b/>
                <w:sz w:val="24"/>
                <w:szCs w:val="28"/>
                <w:lang w:val="en-US" w:eastAsia="zh-CN"/>
              </w:rPr>
              <w:t>96</w:t>
            </w:r>
          </w:p>
        </w:tc>
        <w:tc>
          <w:tcPr>
            <w:tcW w:w="889"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50％</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0"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1056</w:t>
            </w:r>
          </w:p>
        </w:tc>
        <w:tc>
          <w:tcPr>
            <w:tcW w:w="890"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0"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1056</w:t>
            </w:r>
          </w:p>
        </w:tc>
        <w:tc>
          <w:tcPr>
            <w:tcW w:w="889"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0"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2800</w:t>
            </w:r>
          </w:p>
        </w:tc>
        <w:tc>
          <w:tcPr>
            <w:tcW w:w="890"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1050</w:t>
            </w:r>
          </w:p>
        </w:tc>
        <w:tc>
          <w:tcPr>
            <w:tcW w:w="890"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1750</w:t>
            </w:r>
          </w:p>
        </w:tc>
        <w:tc>
          <w:tcPr>
            <w:tcW w:w="889"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b/>
                <w:sz w:val="24"/>
                <w:szCs w:val="28"/>
                <w:lang w:val="en-US" w:eastAsia="zh-CN"/>
              </w:rPr>
              <w:t>62.5％</w:t>
            </w:r>
            <w:r>
              <w:rPr>
                <w:rFonts w:hint="eastAsia" w:ascii="宋体" w:hAnsi="宋体"/>
                <w:vanish/>
                <w:color w:val="FF0000"/>
                <w:sz w:val="24"/>
                <w:szCs w:val="22"/>
                <w:lang w:val="en-US" w:eastAsia="zh-CN"/>
              </w:rPr>
              <w:t>36622666666262.5</w:t>
            </w:r>
            <w:r>
              <w:rPr>
                <w:rFonts w:hint="eastAsia" w:ascii="宋体" w:hAnsi="宋体"/>
                <w:vanish/>
                <w:color w:val="FF0000"/>
                <w:sz w:val="24"/>
                <w:szCs w:val="22"/>
              </w:rPr>
              <w:t>要求＞</w:t>
            </w:r>
            <w:r>
              <w:rPr>
                <w:rFonts w:ascii="宋体" w:hAnsi="宋体"/>
                <w:vanish/>
                <w:color w:val="FF0000"/>
                <w:sz w:val="24"/>
                <w:szCs w:val="22"/>
              </w:rPr>
              <w:t>50%</w:t>
            </w:r>
          </w:p>
        </w:tc>
      </w:tr>
    </w:tbl>
    <w:p w14:paraId="6D0FFB44">
      <w:pPr>
        <w:widowControl/>
        <w:jc w:val="left"/>
        <w:rPr>
          <w:sz w:val="24"/>
        </w:rPr>
      </w:pPr>
    </w:p>
    <w:p w14:paraId="6DFC5CB7">
      <w:pPr>
        <w:widowControl/>
        <w:jc w:val="left"/>
        <w:rPr>
          <w:sz w:val="24"/>
        </w:rPr>
      </w:pPr>
    </w:p>
    <w:p w14:paraId="3FE1DA40">
      <w:pPr>
        <w:widowControl/>
        <w:jc w:val="left"/>
        <w:rPr>
          <w:sz w:val="24"/>
        </w:rPr>
      </w:pPr>
    </w:p>
    <w:p w14:paraId="762AC746">
      <w:pPr>
        <w:widowControl/>
        <w:jc w:val="left"/>
        <w:rPr>
          <w:sz w:val="24"/>
        </w:rPr>
      </w:pPr>
    </w:p>
    <w:p w14:paraId="4B77DD53">
      <w:pPr>
        <w:widowControl/>
        <w:jc w:val="left"/>
        <w:rPr>
          <w:sz w:val="24"/>
        </w:rPr>
      </w:pPr>
    </w:p>
    <w:p w14:paraId="3127FAE9">
      <w:pPr>
        <w:widowControl/>
        <w:jc w:val="left"/>
        <w:rPr>
          <w:sz w:val="24"/>
        </w:rPr>
      </w:pPr>
    </w:p>
    <w:p w14:paraId="1E813B7A">
      <w:pPr>
        <w:widowControl/>
        <w:jc w:val="left"/>
        <w:rPr>
          <w:sz w:val="24"/>
        </w:rPr>
      </w:pPr>
    </w:p>
    <w:p w14:paraId="753E1FC7">
      <w:pPr>
        <w:widowControl/>
        <w:jc w:val="left"/>
        <w:rPr>
          <w:sz w:val="24"/>
        </w:rPr>
      </w:pPr>
    </w:p>
    <w:p w14:paraId="4BD10D93">
      <w:pPr>
        <w:widowControl/>
        <w:jc w:val="left"/>
        <w:rPr>
          <w:sz w:val="24"/>
        </w:rPr>
      </w:pPr>
    </w:p>
    <w:p w14:paraId="6A0FD32C">
      <w:pPr>
        <w:widowControl/>
        <w:jc w:val="left"/>
        <w:rPr>
          <w:sz w:val="24"/>
        </w:rPr>
      </w:pPr>
    </w:p>
    <w:p w14:paraId="6B27FE29">
      <w:pPr>
        <w:widowControl/>
        <w:jc w:val="left"/>
        <w:rPr>
          <w:sz w:val="24"/>
        </w:rPr>
      </w:pPr>
    </w:p>
    <w:p w14:paraId="208B3377">
      <w:pPr>
        <w:widowControl/>
        <w:jc w:val="left"/>
        <w:rPr>
          <w:sz w:val="24"/>
        </w:rPr>
      </w:pPr>
    </w:p>
    <w:p w14:paraId="4704A7F9">
      <w:pPr>
        <w:widowControl/>
        <w:jc w:val="left"/>
        <w:rPr>
          <w:sz w:val="24"/>
        </w:rPr>
      </w:pPr>
    </w:p>
    <w:p w14:paraId="0DBD75DB">
      <w:pPr>
        <w:widowControl/>
        <w:jc w:val="left"/>
        <w:rPr>
          <w:sz w:val="24"/>
        </w:rPr>
      </w:pPr>
    </w:p>
    <w:p w14:paraId="6CBBDA19">
      <w:pPr>
        <w:widowControl/>
        <w:jc w:val="left"/>
        <w:rPr>
          <w:sz w:val="24"/>
        </w:rPr>
      </w:pPr>
    </w:p>
    <w:p w14:paraId="1A86F702">
      <w:pPr>
        <w:widowControl/>
        <w:jc w:val="left"/>
        <w:rPr>
          <w:sz w:val="24"/>
        </w:rPr>
      </w:pPr>
    </w:p>
    <w:p w14:paraId="03F52499">
      <w:pPr>
        <w:widowControl/>
        <w:jc w:val="left"/>
        <w:rPr>
          <w:sz w:val="24"/>
        </w:rPr>
      </w:pPr>
    </w:p>
    <w:p w14:paraId="1742747B">
      <w:pPr>
        <w:widowControl/>
        <w:jc w:val="left"/>
        <w:rPr>
          <w:sz w:val="24"/>
        </w:rPr>
      </w:pPr>
    </w:p>
    <w:p w14:paraId="2C0B7CE9">
      <w:pPr>
        <w:widowControl/>
        <w:jc w:val="left"/>
        <w:rPr>
          <w:sz w:val="24"/>
        </w:rPr>
      </w:pPr>
    </w:p>
    <w:p w14:paraId="6225E518">
      <w:pPr>
        <w:widowControl/>
        <w:jc w:val="left"/>
        <w:rPr>
          <w:sz w:val="24"/>
        </w:rPr>
      </w:pPr>
    </w:p>
    <w:p w14:paraId="5B6FD3F9">
      <w:pPr>
        <w:widowControl/>
        <w:jc w:val="left"/>
        <w:rPr>
          <w:sz w:val="24"/>
        </w:rPr>
      </w:pPr>
    </w:p>
    <w:p w14:paraId="49058D97">
      <w:pPr>
        <w:widowControl/>
        <w:jc w:val="left"/>
        <w:rPr>
          <w:sz w:val="24"/>
        </w:rPr>
      </w:pPr>
    </w:p>
    <w:p w14:paraId="75355B7C">
      <w:pPr>
        <w:widowControl/>
        <w:jc w:val="left"/>
        <w:rPr>
          <w:sz w:val="24"/>
        </w:rPr>
      </w:pPr>
    </w:p>
    <w:p w14:paraId="523401F9">
      <w:pPr>
        <w:pStyle w:val="3"/>
        <w:spacing w:line="360" w:lineRule="auto"/>
        <w:rPr>
          <w:sz w:val="24"/>
          <w:szCs w:val="22"/>
        </w:rPr>
      </w:pPr>
      <w:bookmarkStart w:id="17" w:name="_Toc197702701"/>
      <w:r>
        <w:t>教学计划进程表</w:t>
      </w:r>
      <w:bookmarkStart w:id="18" w:name="_Toc422736381"/>
    </w:p>
    <w:p w14:paraId="373A72D4">
      <w:pPr>
        <w:pStyle w:val="3"/>
        <w:numPr>
          <w:numId w:val="0"/>
        </w:numPr>
        <w:spacing w:line="360" w:lineRule="auto"/>
        <w:ind w:leftChars="-3"/>
        <w:rPr>
          <w:sz w:val="24"/>
          <w:szCs w:val="22"/>
        </w:rPr>
      </w:pPr>
      <w:r>
        <w:drawing>
          <wp:inline distT="0" distB="0" distL="114300" distR="114300">
            <wp:extent cx="5994400" cy="8636635"/>
            <wp:effectExtent l="0" t="0" r="6350"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994400" cy="8636635"/>
                    </a:xfrm>
                    <a:prstGeom prst="rect">
                      <a:avLst/>
                    </a:prstGeom>
                    <a:noFill/>
                    <a:ln>
                      <a:noFill/>
                    </a:ln>
                  </pic:spPr>
                </pic:pic>
              </a:graphicData>
            </a:graphic>
          </wp:inline>
        </w:drawing>
      </w:r>
    </w:p>
    <w:bookmarkEnd w:id="3"/>
    <w:bookmarkEnd w:id="17"/>
    <w:bookmarkEnd w:id="18"/>
    <w:p w14:paraId="39A7FEDA">
      <w:pPr>
        <w:pStyle w:val="3"/>
        <w:spacing w:line="360" w:lineRule="auto"/>
      </w:pPr>
      <w:bookmarkStart w:id="19" w:name="_Toc197702702"/>
      <w:bookmarkStart w:id="20" w:name="OLE_LINK3"/>
      <w:bookmarkStart w:id="21" w:name="OLE_LINK2"/>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lang w:val="en-US" w:eastAsia="zh-CN"/>
        </w:rPr>
        <w:t>车辆工程</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6CB7D2EB">
      <w:pPr>
        <w:snapToGrid w:val="0"/>
        <w:spacing w:line="360" w:lineRule="auto"/>
        <w:ind w:firstLine="480" w:firstLineChars="200"/>
        <w:contextualSpacing/>
        <w:rPr>
          <w:rFonts w:hint="eastAsia"/>
          <w:b w:val="0"/>
          <w:bCs w:val="0"/>
          <w:sz w:val="24"/>
        </w:rPr>
      </w:pPr>
      <w:r>
        <w:rPr>
          <w:rFonts w:hint="eastAsia"/>
          <w:b w:val="0"/>
          <w:bCs w:val="0"/>
          <w:sz w:val="24"/>
        </w:rPr>
        <w:t>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顺利开展汽车拆装实训、电工电子实训、汽车</w:t>
      </w:r>
      <w:r>
        <w:rPr>
          <w:rFonts w:hint="eastAsia"/>
          <w:b w:val="0"/>
          <w:bCs w:val="0"/>
          <w:sz w:val="24"/>
          <w:lang w:val="en-US" w:eastAsia="zh-CN"/>
        </w:rPr>
        <w:t>维修</w:t>
      </w:r>
      <w:r>
        <w:rPr>
          <w:rFonts w:hint="eastAsia"/>
          <w:b w:val="0"/>
          <w:bCs w:val="0"/>
          <w:sz w:val="24"/>
        </w:rPr>
        <w:t>综合实训、</w:t>
      </w:r>
      <w:r>
        <w:rPr>
          <w:rFonts w:hint="eastAsia"/>
          <w:sz w:val="24"/>
          <w:lang w:val="en-US" w:eastAsia="zh-CN"/>
        </w:rPr>
        <w:t>金工实训、机械制图实训、电机与电气实训</w:t>
      </w:r>
      <w:r>
        <w:rPr>
          <w:rFonts w:hint="eastAsia"/>
          <w:b w:val="0"/>
          <w:bCs w:val="0"/>
          <w:sz w:val="24"/>
        </w:rPr>
        <w:t>、毕业综合实践训练等实验、实训活动。</w:t>
      </w:r>
    </w:p>
    <w:p w14:paraId="789D0888">
      <w:pPr>
        <w:snapToGrid w:val="0"/>
        <w:spacing w:line="360" w:lineRule="auto"/>
        <w:ind w:firstLine="480" w:firstLineChars="200"/>
        <w:contextualSpacing/>
        <w:rPr>
          <w:rFonts w:hint="eastAsia"/>
          <w:b w:val="0"/>
          <w:bCs w:val="0"/>
          <w:sz w:val="24"/>
        </w:rPr>
      </w:pPr>
      <w:r>
        <w:rPr>
          <w:rFonts w:hint="eastAsia"/>
          <w:b w:val="0"/>
          <w:bCs w:val="0"/>
          <w:sz w:val="24"/>
        </w:rPr>
        <w:t>鼓励在实训中运用大数据、云计算、人工智能、虚拟仿真等前沿信息技术。</w:t>
      </w:r>
    </w:p>
    <w:p w14:paraId="40531A4A">
      <w:pPr>
        <w:snapToGrid w:val="0"/>
        <w:spacing w:line="360" w:lineRule="auto"/>
        <w:ind w:firstLine="480" w:firstLineChars="200"/>
        <w:contextualSpacing/>
        <w:rPr>
          <w:rFonts w:hint="eastAsia"/>
          <w:b w:val="0"/>
          <w:bCs w:val="0"/>
          <w:sz w:val="24"/>
        </w:rPr>
      </w:pPr>
      <w:r>
        <w:rPr>
          <w:rFonts w:hint="eastAsia"/>
          <w:b w:val="0"/>
          <w:bCs w:val="0"/>
          <w:sz w:val="24"/>
        </w:rPr>
        <w:t>（1）汽车拆装实训室</w:t>
      </w:r>
    </w:p>
    <w:p w14:paraId="6531EF82">
      <w:pPr>
        <w:snapToGrid w:val="0"/>
        <w:spacing w:line="360" w:lineRule="auto"/>
        <w:ind w:firstLine="480" w:firstLineChars="200"/>
        <w:contextualSpacing/>
        <w:rPr>
          <w:rFonts w:hint="eastAsia"/>
          <w:b w:val="0"/>
          <w:bCs w:val="0"/>
          <w:sz w:val="24"/>
        </w:rPr>
      </w:pPr>
      <w:r>
        <w:rPr>
          <w:rFonts w:hint="eastAsia"/>
          <w:b w:val="0"/>
          <w:bCs w:val="0"/>
          <w:sz w:val="24"/>
        </w:rPr>
        <w:t>配备实训整车及相关总成、汽车拆装工具、游标卡尺、外径千分尺、百分表等设备设施，用于进行安全文明生产、举升机安全使用、发动机总成拆装、变速箱拆装</w:t>
      </w:r>
      <w:r>
        <w:rPr>
          <w:rFonts w:hint="eastAsia"/>
          <w:b w:val="0"/>
          <w:bCs w:val="0"/>
          <w:sz w:val="24"/>
          <w:lang w:eastAsia="zh-CN"/>
        </w:rPr>
        <w:t>、</w:t>
      </w:r>
      <w:r>
        <w:rPr>
          <w:rFonts w:hint="eastAsia"/>
          <w:b w:val="0"/>
          <w:bCs w:val="0"/>
          <w:sz w:val="24"/>
        </w:rPr>
        <w:t>驱动系统拆装等实训教学。</w:t>
      </w:r>
    </w:p>
    <w:p w14:paraId="4ECCCD30">
      <w:pPr>
        <w:snapToGrid w:val="0"/>
        <w:spacing w:line="360" w:lineRule="auto"/>
        <w:ind w:firstLine="480" w:firstLineChars="200"/>
        <w:contextualSpacing/>
        <w:rPr>
          <w:rFonts w:hint="eastAsia"/>
          <w:b w:val="0"/>
          <w:bCs w:val="0"/>
          <w:sz w:val="24"/>
        </w:rPr>
      </w:pPr>
      <w:r>
        <w:rPr>
          <w:rFonts w:hint="eastAsia"/>
          <w:b w:val="0"/>
          <w:bCs w:val="0"/>
          <w:sz w:val="24"/>
        </w:rPr>
        <w:t>（2）汽车电工电子实训室</w:t>
      </w:r>
    </w:p>
    <w:p w14:paraId="1A1E83CE">
      <w:pPr>
        <w:snapToGrid w:val="0"/>
        <w:spacing w:line="360" w:lineRule="auto"/>
        <w:ind w:firstLine="480" w:firstLineChars="200"/>
        <w:contextualSpacing/>
        <w:rPr>
          <w:rFonts w:hint="eastAsia"/>
          <w:b w:val="0"/>
          <w:bCs w:val="0"/>
          <w:sz w:val="24"/>
        </w:rPr>
      </w:pPr>
      <w:r>
        <w:rPr>
          <w:rFonts w:hint="eastAsia"/>
          <w:b w:val="0"/>
          <w:bCs w:val="0"/>
          <w:sz w:val="24"/>
        </w:rPr>
        <w:t>配备电工电子实验台、万用表、信号发生器、示波器等设备设施，用于开展汽车电子电气产品软硬件开发与调试的基本技能训练，汽车电工技术、汽车电子技术等实训教学。</w:t>
      </w:r>
    </w:p>
    <w:p w14:paraId="7B7A781F">
      <w:pPr>
        <w:snapToGrid w:val="0"/>
        <w:spacing w:line="360" w:lineRule="auto"/>
        <w:ind w:firstLine="480" w:firstLineChars="200"/>
        <w:contextualSpacing/>
        <w:rPr>
          <w:rFonts w:hint="eastAsia"/>
          <w:b w:val="0"/>
          <w:bCs w:val="0"/>
          <w:sz w:val="24"/>
        </w:rPr>
      </w:pPr>
      <w:r>
        <w:rPr>
          <w:rFonts w:hint="eastAsia"/>
          <w:b w:val="0"/>
          <w:bCs w:val="0"/>
          <w:sz w:val="24"/>
        </w:rPr>
        <w:t>（</w:t>
      </w:r>
      <w:r>
        <w:rPr>
          <w:rFonts w:hint="eastAsia"/>
          <w:b w:val="0"/>
          <w:bCs w:val="0"/>
          <w:sz w:val="24"/>
          <w:lang w:val="en-US" w:eastAsia="zh-CN"/>
        </w:rPr>
        <w:t>3</w:t>
      </w:r>
      <w:r>
        <w:rPr>
          <w:rFonts w:hint="eastAsia"/>
          <w:b w:val="0"/>
          <w:bCs w:val="0"/>
          <w:sz w:val="24"/>
        </w:rPr>
        <w:t>）汽车</w:t>
      </w:r>
      <w:r>
        <w:rPr>
          <w:rFonts w:hint="eastAsia"/>
          <w:b w:val="0"/>
          <w:bCs w:val="0"/>
          <w:sz w:val="24"/>
          <w:lang w:val="en-US" w:eastAsia="zh-CN"/>
        </w:rPr>
        <w:t>维修</w:t>
      </w:r>
      <w:r>
        <w:rPr>
          <w:rFonts w:hint="eastAsia"/>
          <w:b w:val="0"/>
          <w:bCs w:val="0"/>
          <w:sz w:val="24"/>
        </w:rPr>
        <w:t>综合实训室</w:t>
      </w:r>
    </w:p>
    <w:p w14:paraId="56FDCB47">
      <w:pPr>
        <w:snapToGrid w:val="0"/>
        <w:spacing w:line="360" w:lineRule="auto"/>
        <w:ind w:firstLine="480" w:firstLineChars="200"/>
        <w:contextualSpacing/>
        <w:rPr>
          <w:rFonts w:hint="eastAsia"/>
          <w:b w:val="0"/>
          <w:bCs w:val="0"/>
          <w:sz w:val="24"/>
        </w:rPr>
      </w:pPr>
      <w:r>
        <w:rPr>
          <w:rFonts w:hint="eastAsia"/>
          <w:b w:val="0"/>
          <w:bCs w:val="0"/>
          <w:sz w:val="24"/>
        </w:rPr>
        <w:t>配备整车、实训台架、维修工具等设备设施，用于整车电气故障、动力系统故障、传感器波形分析、仪表灯光故障等实训教学，用于整车电路与电气系统综合故障诊断等课程。</w:t>
      </w:r>
    </w:p>
    <w:p w14:paraId="7DE2B992">
      <w:pPr>
        <w:snapToGrid w:val="0"/>
        <w:spacing w:line="360" w:lineRule="auto"/>
        <w:ind w:firstLine="480" w:firstLineChars="200"/>
        <w:contextualSpacing/>
        <w:rPr>
          <w:rFonts w:hint="eastAsia"/>
          <w:b w:val="0"/>
          <w:bCs w:val="0"/>
          <w:sz w:val="24"/>
        </w:rPr>
      </w:pPr>
      <w:r>
        <w:rPr>
          <w:rFonts w:hint="eastAsia"/>
          <w:b w:val="0"/>
          <w:bCs w:val="0"/>
          <w:sz w:val="24"/>
        </w:rPr>
        <w:t>（</w:t>
      </w:r>
      <w:r>
        <w:rPr>
          <w:rFonts w:hint="eastAsia"/>
          <w:b w:val="0"/>
          <w:bCs w:val="0"/>
          <w:sz w:val="24"/>
          <w:lang w:val="en-US" w:eastAsia="zh-CN"/>
        </w:rPr>
        <w:t>4</w:t>
      </w:r>
      <w:r>
        <w:rPr>
          <w:rFonts w:hint="eastAsia"/>
          <w:b w:val="0"/>
          <w:bCs w:val="0"/>
          <w:sz w:val="24"/>
        </w:rPr>
        <w:t>）</w:t>
      </w:r>
      <w:r>
        <w:rPr>
          <w:rFonts w:hint="eastAsia"/>
          <w:b w:val="0"/>
          <w:bCs w:val="0"/>
          <w:sz w:val="24"/>
          <w:lang w:val="en-US" w:eastAsia="zh-CN"/>
        </w:rPr>
        <w:t>电机与电气</w:t>
      </w:r>
      <w:r>
        <w:rPr>
          <w:rFonts w:hint="eastAsia"/>
          <w:b w:val="0"/>
          <w:bCs w:val="0"/>
          <w:sz w:val="24"/>
        </w:rPr>
        <w:t>实训室</w:t>
      </w:r>
    </w:p>
    <w:p w14:paraId="6DECFCFC">
      <w:pPr>
        <w:snapToGrid w:val="0"/>
        <w:spacing w:line="360" w:lineRule="auto"/>
        <w:ind w:firstLine="480" w:firstLineChars="200"/>
        <w:contextualSpacing/>
        <w:rPr>
          <w:rFonts w:hint="eastAsia"/>
          <w:b w:val="0"/>
          <w:bCs w:val="0"/>
          <w:sz w:val="24"/>
        </w:rPr>
      </w:pPr>
      <w:r>
        <w:rPr>
          <w:rFonts w:hint="eastAsia"/>
          <w:b w:val="0"/>
          <w:bCs w:val="0"/>
          <w:sz w:val="24"/>
        </w:rPr>
        <w:t>配备万用表、示波器、信号发生器、频率计、传感器实验模块等设备设施，用于汽车传感器装调、标定与检测等实训教学，用于智能传感器技术应用等课程。</w:t>
      </w:r>
    </w:p>
    <w:p w14:paraId="063B9822">
      <w:pPr>
        <w:snapToGrid w:val="0"/>
        <w:spacing w:line="360" w:lineRule="auto"/>
        <w:ind w:firstLine="480" w:firstLineChars="200"/>
        <w:contextualSpacing/>
        <w:rPr>
          <w:rFonts w:hint="eastAsia"/>
          <w:b w:val="0"/>
          <w:bCs w:val="0"/>
          <w:sz w:val="24"/>
        </w:rPr>
      </w:pPr>
      <w:r>
        <w:rPr>
          <w:rFonts w:hint="eastAsia"/>
          <w:b w:val="0"/>
          <w:bCs w:val="0"/>
          <w:sz w:val="24"/>
        </w:rPr>
        <w:t>（</w:t>
      </w:r>
      <w:r>
        <w:rPr>
          <w:rFonts w:hint="eastAsia"/>
          <w:b w:val="0"/>
          <w:bCs w:val="0"/>
          <w:sz w:val="24"/>
          <w:lang w:val="en-US" w:eastAsia="zh-CN"/>
        </w:rPr>
        <w:t>5</w:t>
      </w:r>
      <w:r>
        <w:rPr>
          <w:rFonts w:hint="eastAsia"/>
          <w:b w:val="0"/>
          <w:bCs w:val="0"/>
          <w:sz w:val="24"/>
        </w:rPr>
        <w:t>）</w:t>
      </w:r>
      <w:r>
        <w:rPr>
          <w:rFonts w:hint="eastAsia"/>
          <w:b w:val="0"/>
          <w:bCs w:val="0"/>
          <w:sz w:val="24"/>
          <w:lang w:val="en-US" w:eastAsia="zh-CN"/>
        </w:rPr>
        <w:t>金工</w:t>
      </w:r>
      <w:r>
        <w:rPr>
          <w:rFonts w:hint="eastAsia"/>
          <w:b w:val="0"/>
          <w:bCs w:val="0"/>
          <w:sz w:val="24"/>
        </w:rPr>
        <w:t>实训室</w:t>
      </w:r>
    </w:p>
    <w:p w14:paraId="214D25BF">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配备普通车床、普通铣床、钳工工作台等设备设施，用于金工等实训教学。</w:t>
      </w: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lang w:val="en-US" w:eastAsia="zh-CN"/>
        </w:rPr>
        <w:t>汽车制造</w:t>
      </w:r>
      <w:r>
        <w:rPr>
          <w:sz w:val="24"/>
        </w:rPr>
        <w:t>技术、方法、思维以及实务操作类图书，</w:t>
      </w:r>
      <w:r>
        <w:rPr>
          <w:rFonts w:hint="eastAsia"/>
          <w:sz w:val="24"/>
          <w:lang w:val="en-US" w:eastAsia="zh-CN"/>
        </w:rPr>
        <w:t>汽车电子技术</w:t>
      </w:r>
      <w:bookmarkStart w:id="29" w:name="_GoBack"/>
      <w:bookmarkEnd w:id="29"/>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3"/>
      </w:rPr>
    </w:pPr>
    <w:r>
      <w:rPr>
        <w:rStyle w:val="23"/>
      </w:rPr>
      <w:fldChar w:fldCharType="begin"/>
    </w:r>
    <w:r>
      <w:rPr>
        <w:rStyle w:val="23"/>
      </w:rPr>
      <w:instrText xml:space="preserve">PAGE  </w:instrText>
    </w:r>
    <w:r>
      <w:rPr>
        <w:rStyle w:val="23"/>
      </w:rPr>
      <w:fldChar w:fldCharType="separate"/>
    </w:r>
    <w:r>
      <w:rPr>
        <w:rStyle w:val="23"/>
      </w:rPr>
      <w:t>24</w:t>
    </w:r>
    <w:r>
      <w:rPr>
        <w:rStyle w:val="23"/>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4A48D4"/>
    <w:multiLevelType w:val="multilevel"/>
    <w:tmpl w:val="1D4A48D4"/>
    <w:lvl w:ilvl="0" w:tentative="0">
      <w:start w:val="1"/>
      <w:numFmt w:val="decimal"/>
      <w:pStyle w:val="29"/>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1">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NmYzViMTY0MjMwN2E4ZjA0ZmI5OWVkYWJjYWMyNDcifQ=="/>
  </w:docVars>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8A234FA"/>
    <w:rsid w:val="0D6214AA"/>
    <w:rsid w:val="0F9D4A1B"/>
    <w:rsid w:val="183D6D9C"/>
    <w:rsid w:val="1C2D7E93"/>
    <w:rsid w:val="224F1BA5"/>
    <w:rsid w:val="2D2F2CFF"/>
    <w:rsid w:val="3A502507"/>
    <w:rsid w:val="3D4E0F7F"/>
    <w:rsid w:val="473311E6"/>
    <w:rsid w:val="58B239EB"/>
    <w:rsid w:val="67EE0AE5"/>
    <w:rsid w:val="6A470981"/>
    <w:rsid w:val="6A9C53B0"/>
    <w:rsid w:val="6BC009EB"/>
    <w:rsid w:val="6DDB1B0C"/>
    <w:rsid w:val="74532A7B"/>
    <w:rsid w:val="7EBC3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7"/>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8"/>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5"/>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3"/>
    <w:semiHidden/>
    <w:qFormat/>
    <w:uiPriority w:val="99"/>
    <w:pPr>
      <w:shd w:val="clear" w:color="auto" w:fill="000080"/>
    </w:pPr>
  </w:style>
  <w:style w:type="paragraph" w:styleId="7">
    <w:name w:val="Body Text"/>
    <w:basedOn w:val="1"/>
    <w:link w:val="136"/>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7"/>
    <w:qFormat/>
    <w:uiPriority w:val="0"/>
    <w:rPr>
      <w:rFonts w:hint="eastAsia" w:ascii="宋体" w:hAnsi="Courier New" w:cs="Courier New"/>
      <w:szCs w:val="21"/>
    </w:rPr>
  </w:style>
  <w:style w:type="paragraph" w:styleId="10">
    <w:name w:val="Date"/>
    <w:basedOn w:val="1"/>
    <w:next w:val="1"/>
    <w:link w:val="32"/>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2"/>
    <w:uiPriority w:val="99"/>
    <w:pPr>
      <w:ind w:firstLine="420" w:firstLineChars="200"/>
    </w:pPr>
    <w:rPr>
      <w:rFonts w:ascii="宋体" w:hAnsi="宋体"/>
    </w:rPr>
  </w:style>
  <w:style w:type="paragraph" w:styleId="12">
    <w:name w:val="Balloon Text"/>
    <w:basedOn w:val="1"/>
    <w:link w:val="36"/>
    <w:unhideWhenUsed/>
    <w:uiPriority w:val="99"/>
    <w:rPr>
      <w:rFonts w:ascii="Calibri" w:hAnsi="Calibri"/>
      <w:sz w:val="18"/>
      <w:szCs w:val="18"/>
      <w:lang w:val="zh-CN" w:eastAsia="zh-CN"/>
    </w:rPr>
  </w:style>
  <w:style w:type="paragraph" w:styleId="13">
    <w:name w:val="footer"/>
    <w:basedOn w:val="1"/>
    <w:link w:val="30"/>
    <w:qFormat/>
    <w:uiPriority w:val="99"/>
    <w:pPr>
      <w:tabs>
        <w:tab w:val="center" w:pos="4153"/>
        <w:tab w:val="right" w:pos="8306"/>
      </w:tabs>
      <w:snapToGrid w:val="0"/>
      <w:jc w:val="left"/>
    </w:pPr>
    <w:rPr>
      <w:sz w:val="18"/>
      <w:szCs w:val="18"/>
    </w:rPr>
  </w:style>
  <w:style w:type="paragraph" w:styleId="14">
    <w:name w:val="header"/>
    <w:basedOn w:val="1"/>
    <w:link w:val="3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page number"/>
    <w:basedOn w:val="21"/>
    <w:qFormat/>
    <w:uiPriority w:val="99"/>
  </w:style>
  <w:style w:type="character" w:styleId="24">
    <w:name w:val="FollowedHyperlink"/>
    <w:unhideWhenUsed/>
    <w:qFormat/>
    <w:uiPriority w:val="99"/>
    <w:rPr>
      <w:color w:val="954F72"/>
      <w:u w:val="single"/>
    </w:rPr>
  </w:style>
  <w:style w:type="character" w:styleId="25">
    <w:name w:val="Hyperlink"/>
    <w:unhideWhenUsed/>
    <w:qFormat/>
    <w:uiPriority w:val="99"/>
    <w:rPr>
      <w:color w:val="0563C1"/>
      <w:u w:val="single"/>
    </w:rPr>
  </w:style>
  <w:style w:type="character" w:customStyle="1" w:styleId="26">
    <w:name w:val="标题 1 字符"/>
    <w:basedOn w:val="21"/>
    <w:link w:val="2"/>
    <w:qFormat/>
    <w:uiPriority w:val="0"/>
    <w:rPr>
      <w:rFonts w:ascii="Calibri" w:hAnsi="Calibri" w:cs="Times New Roman"/>
      <w:b/>
      <w:bCs/>
      <w:kern w:val="44"/>
      <w:sz w:val="44"/>
      <w:szCs w:val="44"/>
    </w:rPr>
  </w:style>
  <w:style w:type="character" w:customStyle="1" w:styleId="27">
    <w:name w:val="标题 2 字符"/>
    <w:basedOn w:val="21"/>
    <w:link w:val="3"/>
    <w:uiPriority w:val="99"/>
    <w:rPr>
      <w:rFonts w:ascii="Times New Roman" w:hAnsi="Times New Roman" w:eastAsia="黑体" w:cs="Times New Roman"/>
      <w:kern w:val="2"/>
      <w:sz w:val="28"/>
      <w:szCs w:val="24"/>
    </w:rPr>
  </w:style>
  <w:style w:type="character" w:customStyle="1" w:styleId="28">
    <w:name w:val="标题 3 字符"/>
    <w:basedOn w:val="21"/>
    <w:link w:val="4"/>
    <w:uiPriority w:val="9"/>
    <w:rPr>
      <w:rFonts w:cs="仿宋"/>
      <w:b/>
      <w:bCs/>
      <w:kern w:val="2"/>
      <w:szCs w:val="24"/>
    </w:rPr>
  </w:style>
  <w:style w:type="paragraph" w:customStyle="1" w:styleId="29">
    <w:name w:val="样式1"/>
    <w:basedOn w:val="1"/>
    <w:autoRedefine/>
    <w:uiPriority w:val="99"/>
    <w:pPr>
      <w:numPr>
        <w:ilvl w:val="0"/>
        <w:numId w:val="3"/>
      </w:numPr>
      <w:adjustRightInd w:val="0"/>
      <w:jc w:val="left"/>
      <w:textAlignment w:val="center"/>
    </w:pPr>
    <w:rPr>
      <w:sz w:val="28"/>
      <w:szCs w:val="21"/>
      <w:lang w:bidi="he-IL"/>
    </w:rPr>
  </w:style>
  <w:style w:type="character" w:customStyle="1" w:styleId="30">
    <w:name w:val="页脚 字符"/>
    <w:basedOn w:val="21"/>
    <w:link w:val="13"/>
    <w:qFormat/>
    <w:uiPriority w:val="99"/>
    <w:rPr>
      <w:rFonts w:ascii="Times New Roman" w:hAnsi="Times New Roman" w:cs="Times New Roman"/>
      <w:kern w:val="2"/>
      <w:sz w:val="18"/>
      <w:szCs w:val="18"/>
    </w:rPr>
  </w:style>
  <w:style w:type="character" w:customStyle="1" w:styleId="31">
    <w:name w:val="页眉 字符"/>
    <w:basedOn w:val="21"/>
    <w:link w:val="14"/>
    <w:uiPriority w:val="0"/>
    <w:rPr>
      <w:rFonts w:ascii="Times New Roman" w:hAnsi="Times New Roman" w:cs="Times New Roman"/>
      <w:kern w:val="2"/>
      <w:sz w:val="18"/>
      <w:szCs w:val="18"/>
    </w:rPr>
  </w:style>
  <w:style w:type="character" w:customStyle="1" w:styleId="32">
    <w:name w:val="日期 字符"/>
    <w:basedOn w:val="21"/>
    <w:link w:val="10"/>
    <w:uiPriority w:val="99"/>
    <w:rPr>
      <w:rFonts w:ascii="仿宋_GB2312" w:eastAsia="仿宋_GB2312"/>
      <w:sz w:val="30"/>
      <w:szCs w:val="30"/>
    </w:rPr>
  </w:style>
  <w:style w:type="character" w:customStyle="1" w:styleId="33">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4">
    <w:name w:val="List Paragraph"/>
    <w:basedOn w:val="1"/>
    <w:qFormat/>
    <w:uiPriority w:val="34"/>
    <w:pPr>
      <w:ind w:firstLine="420" w:firstLineChars="200"/>
    </w:pPr>
    <w:rPr>
      <w:rFonts w:ascii="Calibri" w:hAnsi="Calibri"/>
      <w:szCs w:val="22"/>
    </w:rPr>
  </w:style>
  <w:style w:type="paragraph" w:styleId="3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批注框文本 字符"/>
    <w:basedOn w:val="21"/>
    <w:link w:val="12"/>
    <w:uiPriority w:val="99"/>
    <w:rPr>
      <w:rFonts w:ascii="Calibri" w:hAnsi="Calibri" w:cs="Times New Roman"/>
      <w:kern w:val="2"/>
      <w:sz w:val="18"/>
      <w:szCs w:val="18"/>
      <w:lang w:val="zh-CN" w:eastAsia="zh-CN"/>
    </w:rPr>
  </w:style>
  <w:style w:type="character" w:customStyle="1" w:styleId="37">
    <w:name w:val="纯文本 字符"/>
    <w:basedOn w:val="21"/>
    <w:link w:val="9"/>
    <w:qFormat/>
    <w:uiPriority w:val="0"/>
    <w:rPr>
      <w:rFonts w:hAnsi="Courier New" w:cs="Courier New"/>
      <w:kern w:val="2"/>
      <w:sz w:val="21"/>
      <w:szCs w:val="21"/>
    </w:rPr>
  </w:style>
  <w:style w:type="paragraph" w:customStyle="1" w:styleId="38">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font6"/>
    <w:basedOn w:val="1"/>
    <w:uiPriority w:val="0"/>
    <w:pPr>
      <w:widowControl/>
      <w:spacing w:before="100" w:beforeAutospacing="1" w:after="100" w:afterAutospacing="1"/>
      <w:jc w:val="left"/>
    </w:pPr>
    <w:rPr>
      <w:kern w:val="0"/>
      <w:sz w:val="20"/>
      <w:szCs w:val="20"/>
    </w:rPr>
  </w:style>
  <w:style w:type="paragraph" w:customStyle="1" w:styleId="41">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3">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4">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8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8">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9">
    <w:name w:val="xl9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2">
    <w:name w:val="xl9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3">
    <w:name w:val="xl96"/>
    <w:basedOn w:val="1"/>
    <w:qFormat/>
    <w:uiPriority w:val="0"/>
    <w:pPr>
      <w:widowControl/>
      <w:spacing w:before="100" w:beforeAutospacing="1" w:after="100" w:afterAutospacing="1"/>
      <w:jc w:val="center"/>
      <w:textAlignment w:val="center"/>
    </w:pPr>
    <w:rPr>
      <w:kern w:val="0"/>
      <w:sz w:val="24"/>
    </w:rPr>
  </w:style>
  <w:style w:type="paragraph" w:customStyle="1" w:styleId="54">
    <w:name w:val="xl9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5">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9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8">
    <w:name w:val="xl10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9">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60">
    <w:name w:val="xl103"/>
    <w:basedOn w:val="1"/>
    <w:uiPriority w:val="0"/>
    <w:pPr>
      <w:widowControl/>
      <w:spacing w:before="100" w:beforeAutospacing="1" w:after="100" w:afterAutospacing="1"/>
      <w:jc w:val="left"/>
    </w:pPr>
    <w:rPr>
      <w:kern w:val="0"/>
      <w:sz w:val="24"/>
    </w:rPr>
  </w:style>
  <w:style w:type="paragraph" w:customStyle="1" w:styleId="61">
    <w:name w:val="xl104"/>
    <w:basedOn w:val="1"/>
    <w:qFormat/>
    <w:uiPriority w:val="0"/>
    <w:pPr>
      <w:widowControl/>
      <w:spacing w:before="100" w:beforeAutospacing="1" w:after="100" w:afterAutospacing="1"/>
      <w:jc w:val="left"/>
    </w:pPr>
    <w:rPr>
      <w:kern w:val="0"/>
      <w:sz w:val="24"/>
    </w:rPr>
  </w:style>
  <w:style w:type="paragraph" w:customStyle="1" w:styleId="62">
    <w:name w:val="xl105"/>
    <w:basedOn w:val="1"/>
    <w:uiPriority w:val="0"/>
    <w:pPr>
      <w:widowControl/>
      <w:spacing w:before="100" w:beforeAutospacing="1" w:after="100" w:afterAutospacing="1"/>
      <w:jc w:val="center"/>
    </w:pPr>
    <w:rPr>
      <w:kern w:val="0"/>
      <w:sz w:val="24"/>
    </w:rPr>
  </w:style>
  <w:style w:type="paragraph" w:customStyle="1" w:styleId="63">
    <w:name w:val="xl10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4">
    <w:name w:val="xl107"/>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5">
    <w:name w:val="xl10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6">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7">
    <w:name w:val="xl110"/>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9">
    <w:name w:val="xl112"/>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2">
    <w:name w:val="xl115"/>
    <w:basedOn w:val="1"/>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3">
    <w:name w:val="xl116"/>
    <w:basedOn w:val="1"/>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4">
    <w:name w:val="xl117"/>
    <w:basedOn w:val="1"/>
    <w:uiPriority w:val="0"/>
    <w:pPr>
      <w:widowControl/>
      <w:shd w:val="clear" w:color="000000" w:fill="FFFF00"/>
      <w:spacing w:before="100" w:beforeAutospacing="1" w:after="100" w:afterAutospacing="1"/>
      <w:jc w:val="left"/>
    </w:pPr>
    <w:rPr>
      <w:kern w:val="0"/>
      <w:sz w:val="20"/>
      <w:szCs w:val="20"/>
    </w:rPr>
  </w:style>
  <w:style w:type="paragraph" w:customStyle="1" w:styleId="75">
    <w:name w:val="xl11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7">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8">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1">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2">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3">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4">
    <w:name w:val="xl125"/>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2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90">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1">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2">
    <w:name w:val="正文文本缩进 2 字符"/>
    <w:basedOn w:val="21"/>
    <w:link w:val="11"/>
    <w:qFormat/>
    <w:uiPriority w:val="99"/>
    <w:rPr>
      <w:rFonts w:cs="Times New Roman"/>
      <w:kern w:val="2"/>
      <w:sz w:val="21"/>
      <w:szCs w:val="24"/>
    </w:rPr>
  </w:style>
  <w:style w:type="character" w:customStyle="1" w:styleId="93">
    <w:name w:val="apple-converted-space"/>
    <w:qFormat/>
    <w:uiPriority w:val="99"/>
    <w:rPr>
      <w:rFonts w:cs="Times New Roman"/>
    </w:rPr>
  </w:style>
  <w:style w:type="paragraph" w:customStyle="1" w:styleId="94">
    <w:name w:val="List Paragraph1"/>
    <w:basedOn w:val="1"/>
    <w:qFormat/>
    <w:uiPriority w:val="99"/>
    <w:pPr>
      <w:ind w:firstLine="420" w:firstLineChars="200"/>
    </w:pPr>
    <w:rPr>
      <w:rFonts w:ascii="Calibri" w:hAnsi="Calibri"/>
      <w:szCs w:val="22"/>
    </w:rPr>
  </w:style>
  <w:style w:type="character" w:customStyle="1" w:styleId="95">
    <w:name w:val="font21"/>
    <w:uiPriority w:val="99"/>
    <w:rPr>
      <w:rFonts w:ascii="宋体" w:hAnsi="宋体" w:eastAsia="宋体" w:cs="宋体"/>
      <w:color w:val="000000"/>
      <w:sz w:val="20"/>
      <w:szCs w:val="20"/>
      <w:u w:val="none"/>
    </w:rPr>
  </w:style>
  <w:style w:type="paragraph" w:customStyle="1" w:styleId="96">
    <w:name w:val="列出段落1"/>
    <w:basedOn w:val="1"/>
    <w:qFormat/>
    <w:uiPriority w:val="34"/>
    <w:pPr>
      <w:ind w:firstLine="420" w:firstLineChars="200"/>
    </w:pPr>
    <w:rPr>
      <w:rFonts w:ascii="Calibri" w:hAnsi="Calibri"/>
      <w:szCs w:val="22"/>
    </w:rPr>
  </w:style>
  <w:style w:type="paragraph" w:customStyle="1" w:styleId="97">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8">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9">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0">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1">
    <w:name w:val="xl134"/>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5"/>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6"/>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7"/>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8"/>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xl140"/>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8">
    <w:name w:val="font13"/>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09">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2"/>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5"/>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4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2"/>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3"/>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2">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3">
    <w:name w:val="font14"/>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24">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7"/>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59"/>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0"/>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1">
    <w:name w:val="xl162"/>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2">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3">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4">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5">
    <w:name w:val="标题 5 字符"/>
    <w:basedOn w:val="21"/>
    <w:link w:val="5"/>
    <w:semiHidden/>
    <w:uiPriority w:val="9"/>
    <w:rPr>
      <w:rFonts w:ascii="Times New Roman" w:hAnsi="Times New Roman" w:cs="Times New Roman"/>
      <w:b/>
      <w:bCs/>
      <w:kern w:val="2"/>
      <w:sz w:val="28"/>
      <w:szCs w:val="28"/>
    </w:rPr>
  </w:style>
  <w:style w:type="character" w:customStyle="1" w:styleId="136">
    <w:name w:val="正文文本 字符"/>
    <w:basedOn w:val="21"/>
    <w:link w:val="7"/>
    <w:uiPriority w:val="99"/>
    <w:rPr>
      <w:rFonts w:ascii="Times New Roman" w:hAnsi="Times New Roman" w:cs="Times New Roman"/>
      <w:kern w:val="2"/>
      <w:sz w:val="21"/>
      <w:szCs w:val="24"/>
    </w:rPr>
  </w:style>
  <w:style w:type="character" w:customStyle="1" w:styleId="137">
    <w:name w:val="建设方案正文 Char Char"/>
    <w:link w:val="138"/>
    <w:uiPriority w:val="0"/>
    <w:rPr>
      <w:rFonts w:ascii="仿宋_GB2312" w:eastAsia="仿宋_GB2312"/>
      <w:color w:val="000000"/>
      <w:kern w:val="2"/>
    </w:rPr>
  </w:style>
  <w:style w:type="paragraph" w:customStyle="1" w:styleId="138">
    <w:name w:val="建设方案正文"/>
    <w:basedOn w:val="1"/>
    <w:link w:val="137"/>
    <w:uiPriority w:val="0"/>
    <w:pPr>
      <w:spacing w:line="360" w:lineRule="auto"/>
      <w:ind w:firstLine="200" w:firstLineChars="200"/>
    </w:pPr>
    <w:rPr>
      <w:rFonts w:ascii="仿宋_GB2312" w:hAnsi="宋体" w:eastAsia="仿宋_GB2312" w:cs="宋体"/>
      <w:color w:val="000000"/>
      <w:sz w:val="24"/>
      <w:szCs w:val="22"/>
    </w:rPr>
  </w:style>
  <w:style w:type="paragraph" w:customStyle="1" w:styleId="139">
    <w:name w:val="二级标题"/>
    <w:basedOn w:val="1"/>
    <w:link w:val="140"/>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40">
    <w:name w:val="二级标题 Char"/>
    <w:link w:val="139"/>
    <w:uiPriority w:val="0"/>
    <w:rPr>
      <w:rFonts w:ascii="黑体" w:hAnsi="黑体" w:eastAsia="黑体" w:cs="Times New Roman"/>
      <w:bCs/>
      <w:color w:val="000000"/>
      <w:kern w:val="2"/>
      <w:szCs w:val="24"/>
    </w:rPr>
  </w:style>
  <w:style w:type="paragraph" w:customStyle="1" w:styleId="14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2">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4">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5">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7">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8">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9">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1">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4">
    <w:name w:val="xl7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6">
    <w:name w:val="xl7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7">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9">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0">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1">
    <w:name w:val="xl82"/>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2">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3">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6982</Words>
  <Characters>7191</Characters>
  <Lines>49</Lines>
  <Paragraphs>13</Paragraphs>
  <TotalTime>3</TotalTime>
  <ScaleCrop>false</ScaleCrop>
  <LinksUpToDate>false</LinksUpToDate>
  <CharactersWithSpaces>7338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Acer</cp:lastModifiedBy>
  <cp:lastPrinted>2025-05-12T02:07:00Z</cp:lastPrinted>
  <dcterms:modified xsi:type="dcterms:W3CDTF">2025-05-27T00:54:58Z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418453BF78F04EE2B68C8EF4B46281F1_12</vt:lpwstr>
  </property>
</Properties>
</file>