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智能应用工程学院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新能源汽车技术</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杨彤</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jc w:val="center"/>
              <w:rPr>
                <w:rFonts w:hint="eastAsia" w:ascii="仿宋" w:hAnsi="仿宋" w:eastAsia="仿宋"/>
                <w:sz w:val="32"/>
                <w:szCs w:val="32"/>
                <w:lang w:val="en-US" w:eastAsia="zh-CN"/>
              </w:rPr>
            </w:pP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jc w:val="center"/>
              <w:rPr>
                <w:rFonts w:hint="eastAsia" w:ascii="仿宋" w:hAnsi="仿宋" w:eastAsia="仿宋"/>
                <w:sz w:val="32"/>
                <w:szCs w:val="32"/>
                <w:lang w:val="en-US" w:eastAsia="zh-CN"/>
              </w:rPr>
            </w:pPr>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宋体" w:hAnsi="宋体" w:eastAsia="宋体" w:cs="Times New Roman"/>
          <w:kern w:val="2"/>
          <w:sz w:val="21"/>
          <w:szCs w:val="24"/>
          <w:lang w:val="en-US" w:eastAsia="zh-CN" w:bidi="ar-SA"/>
        </w:rPr>
        <w:id w:val="147474743"/>
        <w15:color w:val="DBDBDB"/>
        <w:docPartObj>
          <w:docPartGallery w:val="Table of Contents"/>
          <w:docPartUnique/>
        </w:docPartObj>
      </w:sdtPr>
      <w:sdtEndPr>
        <w:rPr>
          <w:rFonts w:ascii="Times New Roman" w:hAnsi="Times New Roman" w:eastAsia="宋体" w:cs="Times New Roman"/>
          <w:kern w:val="2"/>
          <w:sz w:val="21"/>
          <w:szCs w:val="24"/>
          <w:lang w:val="en-US" w:eastAsia="zh-CN" w:bidi="ar-SA"/>
        </w:rPr>
      </w:sdtEndPr>
      <w:sdtContent>
        <w:p w14:paraId="4ABC68F6">
          <w:pPr>
            <w:spacing w:before="0" w:beforeLines="0" w:after="0" w:afterLines="0" w:line="240" w:lineRule="auto"/>
            <w:ind w:left="0" w:leftChars="0" w:right="0" w:rightChars="0" w:firstLine="0" w:firstLineChars="0"/>
            <w:jc w:val="center"/>
          </w:pPr>
          <w:r>
            <w:rPr>
              <w:rFonts w:ascii="宋体" w:hAnsi="宋体" w:eastAsia="宋体"/>
              <w:sz w:val="21"/>
            </w:rPr>
            <w:t>目录</w:t>
          </w:r>
        </w:p>
        <w:p w14:paraId="459A99D5">
          <w:pPr>
            <w:pStyle w:val="15"/>
            <w:numPr>
              <w:ilvl w:val="0"/>
              <w:numId w:val="0"/>
            </w:numPr>
            <w:tabs>
              <w:tab w:val="right" w:leader="dot" w:pos="9450"/>
              <w:tab w:val="clear" w:pos="9440"/>
            </w:tabs>
            <w:ind w:leftChars="0"/>
          </w:pPr>
          <w:r>
            <w:rPr>
              <w:sz w:val="24"/>
            </w:rPr>
            <w:fldChar w:fldCharType="begin"/>
          </w:r>
          <w:r>
            <w:rPr>
              <w:sz w:val="24"/>
            </w:rPr>
            <w:instrText xml:space="preserve">TOC \o "1-3" \h \u </w:instrText>
          </w:r>
          <w:r>
            <w:rPr>
              <w:sz w:val="24"/>
            </w:rPr>
            <w:fldChar w:fldCharType="separate"/>
          </w:r>
          <w:r>
            <w:fldChar w:fldCharType="begin"/>
          </w:r>
          <w:r>
            <w:instrText xml:space="preserve"> HYPERLINK \l _Toc2635 </w:instrText>
          </w:r>
          <w:r>
            <w:fldChar w:fldCharType="separate"/>
          </w:r>
          <w:r>
            <w:rPr>
              <w:rFonts w:hint="default"/>
            </w:rPr>
            <w:t xml:space="preserve">一、 </w:t>
          </w:r>
          <w:r>
            <w:rPr>
              <w:rFonts w:hint="eastAsia"/>
            </w:rPr>
            <w:t>专业名称与代码</w:t>
          </w:r>
          <w:r>
            <w:tab/>
          </w:r>
          <w:r>
            <w:fldChar w:fldCharType="begin"/>
          </w:r>
          <w:r>
            <w:instrText xml:space="preserve"> PAGEREF _Toc2635 \h </w:instrText>
          </w:r>
          <w:r>
            <w:fldChar w:fldCharType="separate"/>
          </w:r>
          <w:r>
            <w:t>- 1 -</w:t>
          </w:r>
          <w:r>
            <w:fldChar w:fldCharType="end"/>
          </w:r>
          <w:r>
            <w:fldChar w:fldCharType="end"/>
          </w:r>
        </w:p>
        <w:p w14:paraId="1264D5FD">
          <w:pPr>
            <w:pStyle w:val="15"/>
            <w:numPr>
              <w:ilvl w:val="0"/>
              <w:numId w:val="0"/>
            </w:numPr>
            <w:tabs>
              <w:tab w:val="right" w:leader="dot" w:pos="9450"/>
              <w:tab w:val="clear" w:pos="9440"/>
            </w:tabs>
            <w:ind w:leftChars="0"/>
          </w:pPr>
          <w:r>
            <w:fldChar w:fldCharType="begin"/>
          </w:r>
          <w:r>
            <w:instrText xml:space="preserve"> HYPERLINK \l _Toc26642 </w:instrText>
          </w:r>
          <w:r>
            <w:fldChar w:fldCharType="separate"/>
          </w:r>
          <w:r>
            <w:rPr>
              <w:rFonts w:hint="default"/>
            </w:rPr>
            <w:t xml:space="preserve">二、 </w:t>
          </w:r>
          <w:r>
            <w:rPr>
              <w:rFonts w:hint="eastAsia"/>
            </w:rPr>
            <w:t>培养</w:t>
          </w:r>
          <w:r>
            <w:t>对象与</w:t>
          </w:r>
          <w:r>
            <w:rPr>
              <w:rFonts w:hint="eastAsia"/>
            </w:rPr>
            <w:t>学制</w:t>
          </w:r>
          <w:r>
            <w:tab/>
          </w:r>
          <w:r>
            <w:fldChar w:fldCharType="begin"/>
          </w:r>
          <w:r>
            <w:instrText xml:space="preserve"> PAGEREF _Toc26642 \h </w:instrText>
          </w:r>
          <w:r>
            <w:fldChar w:fldCharType="separate"/>
          </w:r>
          <w:r>
            <w:t>- 1 -</w:t>
          </w:r>
          <w:r>
            <w:fldChar w:fldCharType="end"/>
          </w:r>
          <w:r>
            <w:fldChar w:fldCharType="end"/>
          </w:r>
        </w:p>
        <w:p w14:paraId="0C597CFC">
          <w:pPr>
            <w:pStyle w:val="15"/>
            <w:numPr>
              <w:ilvl w:val="0"/>
              <w:numId w:val="0"/>
            </w:numPr>
            <w:tabs>
              <w:tab w:val="right" w:leader="dot" w:pos="9450"/>
              <w:tab w:val="clear" w:pos="9440"/>
            </w:tabs>
            <w:ind w:leftChars="0"/>
          </w:pPr>
          <w:r>
            <w:fldChar w:fldCharType="begin"/>
          </w:r>
          <w:r>
            <w:instrText xml:space="preserve"> HYPERLINK \l _Toc17959 </w:instrText>
          </w:r>
          <w:r>
            <w:fldChar w:fldCharType="separate"/>
          </w:r>
          <w:r>
            <w:rPr>
              <w:rFonts w:hint="default"/>
            </w:rPr>
            <w:t xml:space="preserve">三、 </w:t>
          </w:r>
          <w:r>
            <w:rPr>
              <w:rFonts w:hint="eastAsia"/>
            </w:rPr>
            <w:t>职业面向（参照教育部标准）</w:t>
          </w:r>
          <w:r>
            <w:rPr>
              <w:rFonts w:hint="eastAsia"/>
              <w:vanish/>
            </w:rPr>
            <w:t>（参照教育部标准）</w:t>
          </w:r>
          <w:r>
            <w:tab/>
          </w:r>
          <w:r>
            <w:fldChar w:fldCharType="begin"/>
          </w:r>
          <w:r>
            <w:instrText xml:space="preserve"> PAGEREF _Toc17959 \h </w:instrText>
          </w:r>
          <w:r>
            <w:fldChar w:fldCharType="separate"/>
          </w:r>
          <w:r>
            <w:t>- 1 -</w:t>
          </w:r>
          <w:r>
            <w:fldChar w:fldCharType="end"/>
          </w:r>
          <w:r>
            <w:fldChar w:fldCharType="end"/>
          </w:r>
        </w:p>
        <w:p w14:paraId="40A0AFFF">
          <w:pPr>
            <w:pStyle w:val="15"/>
            <w:numPr>
              <w:ilvl w:val="0"/>
              <w:numId w:val="0"/>
            </w:numPr>
            <w:tabs>
              <w:tab w:val="right" w:leader="dot" w:pos="9450"/>
              <w:tab w:val="clear" w:pos="9440"/>
            </w:tabs>
            <w:ind w:leftChars="0"/>
          </w:pPr>
          <w:r>
            <w:fldChar w:fldCharType="begin"/>
          </w:r>
          <w:r>
            <w:instrText xml:space="preserve"> HYPERLINK \l _Toc7968 </w:instrText>
          </w:r>
          <w:r>
            <w:fldChar w:fldCharType="separate"/>
          </w:r>
          <w:r>
            <w:rPr>
              <w:rFonts w:hint="default"/>
            </w:rPr>
            <w:t xml:space="preserve">四、 </w:t>
          </w:r>
          <w:r>
            <w:t>培养目标</w:t>
          </w:r>
          <w:r>
            <w:rPr>
              <w:rFonts w:hint="eastAsia"/>
            </w:rPr>
            <w:t>（参照教育部标准）</w:t>
          </w:r>
          <w:r>
            <w:rPr>
              <w:rFonts w:hint="eastAsia"/>
              <w:vanish/>
            </w:rPr>
            <w:t>（参照教育部标准）</w:t>
          </w:r>
          <w:r>
            <w:tab/>
          </w:r>
          <w:r>
            <w:fldChar w:fldCharType="begin"/>
          </w:r>
          <w:r>
            <w:instrText xml:space="preserve"> PAGEREF _Toc7968 \h </w:instrText>
          </w:r>
          <w:r>
            <w:fldChar w:fldCharType="separate"/>
          </w:r>
          <w:r>
            <w:t>- 2 -</w:t>
          </w:r>
          <w:r>
            <w:fldChar w:fldCharType="end"/>
          </w:r>
          <w:r>
            <w:fldChar w:fldCharType="end"/>
          </w:r>
        </w:p>
        <w:p w14:paraId="3494E3D5">
          <w:pPr>
            <w:pStyle w:val="15"/>
            <w:numPr>
              <w:ilvl w:val="0"/>
              <w:numId w:val="0"/>
            </w:numPr>
            <w:tabs>
              <w:tab w:val="right" w:leader="dot" w:pos="9450"/>
              <w:tab w:val="clear" w:pos="9440"/>
            </w:tabs>
            <w:ind w:leftChars="0"/>
          </w:pPr>
          <w:r>
            <w:fldChar w:fldCharType="begin"/>
          </w:r>
          <w:r>
            <w:instrText xml:space="preserve"> HYPERLINK \l _Toc28217 </w:instrText>
          </w:r>
          <w:r>
            <w:fldChar w:fldCharType="separate"/>
          </w:r>
          <w:r>
            <w:rPr>
              <w:rFonts w:hint="default"/>
            </w:rPr>
            <w:t xml:space="preserve">五、 </w:t>
          </w:r>
          <w:r>
            <w:t>培养</w:t>
          </w:r>
          <w:r>
            <w:rPr>
              <w:rFonts w:hint="eastAsia"/>
            </w:rPr>
            <w:t>规格（参照教育部标准）</w:t>
          </w:r>
          <w:r>
            <w:rPr>
              <w:rFonts w:hint="eastAsia"/>
              <w:vanish/>
            </w:rPr>
            <w:t>（参照教育部标准）</w:t>
          </w:r>
          <w:r>
            <w:tab/>
          </w:r>
          <w:r>
            <w:fldChar w:fldCharType="begin"/>
          </w:r>
          <w:r>
            <w:instrText xml:space="preserve"> PAGEREF _Toc28217 \h </w:instrText>
          </w:r>
          <w:r>
            <w:fldChar w:fldCharType="separate"/>
          </w:r>
          <w:r>
            <w:t>- 2 -</w:t>
          </w:r>
          <w:r>
            <w:fldChar w:fldCharType="end"/>
          </w:r>
          <w:r>
            <w:fldChar w:fldCharType="end"/>
          </w:r>
        </w:p>
        <w:p w14:paraId="111FB5BA">
          <w:pPr>
            <w:pStyle w:val="15"/>
            <w:numPr>
              <w:ilvl w:val="0"/>
              <w:numId w:val="0"/>
            </w:numPr>
            <w:tabs>
              <w:tab w:val="right" w:leader="dot" w:pos="9450"/>
              <w:tab w:val="clear" w:pos="9440"/>
            </w:tabs>
            <w:ind w:leftChars="0"/>
          </w:pPr>
          <w:r>
            <w:fldChar w:fldCharType="begin"/>
          </w:r>
          <w:r>
            <w:instrText xml:space="preserve"> HYPERLINK \l _Toc6098 </w:instrText>
          </w:r>
          <w:r>
            <w:fldChar w:fldCharType="separate"/>
          </w:r>
          <w:r>
            <w:rPr>
              <w:rFonts w:hint="default"/>
            </w:rPr>
            <w:t xml:space="preserve">六、 </w:t>
          </w:r>
          <w:r>
            <w:t>课程设置及学时安排</w:t>
          </w:r>
          <w:r>
            <w:rPr>
              <w:rFonts w:hint="eastAsia"/>
            </w:rPr>
            <w:t>（参照教育部标准）</w:t>
          </w:r>
          <w:r>
            <w:rPr>
              <w:rFonts w:hint="eastAsia"/>
              <w:vanish/>
            </w:rPr>
            <w:t>（参照教育部标准）</w:t>
          </w:r>
          <w:r>
            <w:tab/>
          </w:r>
          <w:r>
            <w:fldChar w:fldCharType="begin"/>
          </w:r>
          <w:r>
            <w:instrText xml:space="preserve"> PAGEREF _Toc6098 \h </w:instrText>
          </w:r>
          <w:r>
            <w:fldChar w:fldCharType="separate"/>
          </w:r>
          <w:r>
            <w:t>- 4 -</w:t>
          </w:r>
          <w:r>
            <w:fldChar w:fldCharType="end"/>
          </w:r>
          <w:r>
            <w:fldChar w:fldCharType="end"/>
          </w:r>
        </w:p>
        <w:p w14:paraId="09E35EA1">
          <w:pPr>
            <w:pStyle w:val="16"/>
            <w:tabs>
              <w:tab w:val="right" w:leader="dot" w:pos="9450"/>
            </w:tabs>
          </w:pPr>
          <w:r>
            <w:fldChar w:fldCharType="begin"/>
          </w:r>
          <w:r>
            <w:instrText xml:space="preserve"> HYPERLINK \l _Toc10126 </w:instrText>
          </w:r>
          <w:r>
            <w:fldChar w:fldCharType="separate"/>
          </w:r>
          <w:r>
            <w:rPr>
              <w:rFonts w:hint="default"/>
              <w:bCs w:val="0"/>
            </w:rPr>
            <w:t xml:space="preserve">1． </w:t>
          </w:r>
          <w:r>
            <w:rPr>
              <w:bCs w:val="0"/>
            </w:rPr>
            <w:t>公共基础课程</w:t>
          </w:r>
          <w:r>
            <w:tab/>
          </w:r>
          <w:r>
            <w:fldChar w:fldCharType="begin"/>
          </w:r>
          <w:r>
            <w:instrText xml:space="preserve"> PAGEREF _Toc10126 \h </w:instrText>
          </w:r>
          <w:r>
            <w:fldChar w:fldCharType="separate"/>
          </w:r>
          <w:r>
            <w:t>- 4 -</w:t>
          </w:r>
          <w:r>
            <w:fldChar w:fldCharType="end"/>
          </w:r>
          <w:r>
            <w:fldChar w:fldCharType="end"/>
          </w:r>
        </w:p>
        <w:p w14:paraId="5D4F4E82">
          <w:pPr>
            <w:pStyle w:val="16"/>
            <w:tabs>
              <w:tab w:val="right" w:leader="dot" w:pos="9450"/>
            </w:tabs>
          </w:pPr>
          <w:r>
            <w:fldChar w:fldCharType="begin"/>
          </w:r>
          <w:r>
            <w:instrText xml:space="preserve"> HYPERLINK \l _Toc7985 </w:instrText>
          </w:r>
          <w:r>
            <w:fldChar w:fldCharType="separate"/>
          </w:r>
          <w:r>
            <w:rPr>
              <w:rFonts w:hint="default"/>
              <w:bCs w:val="0"/>
            </w:rPr>
            <w:t xml:space="preserve">2． </w:t>
          </w:r>
          <w:r>
            <w:rPr>
              <w:bCs w:val="0"/>
            </w:rPr>
            <w:t>专业课程</w:t>
          </w:r>
          <w:r>
            <w:tab/>
          </w:r>
          <w:r>
            <w:fldChar w:fldCharType="begin"/>
          </w:r>
          <w:r>
            <w:instrText xml:space="preserve"> PAGEREF _Toc7985 \h </w:instrText>
          </w:r>
          <w:r>
            <w:fldChar w:fldCharType="separate"/>
          </w:r>
          <w:r>
            <w:t>- 4 -</w:t>
          </w:r>
          <w:r>
            <w:fldChar w:fldCharType="end"/>
          </w:r>
          <w:r>
            <w:fldChar w:fldCharType="end"/>
          </w:r>
        </w:p>
        <w:p w14:paraId="38F3830D">
          <w:pPr>
            <w:pStyle w:val="8"/>
            <w:tabs>
              <w:tab w:val="right" w:leader="dot" w:pos="9450"/>
            </w:tabs>
          </w:pPr>
          <w:r>
            <w:fldChar w:fldCharType="begin"/>
          </w:r>
          <w:r>
            <w:instrText xml:space="preserve"> HYPERLINK \l _Toc7796 </w:instrText>
          </w:r>
          <w:r>
            <w:fldChar w:fldCharType="separate"/>
          </w:r>
          <w:r>
            <w:t>（1）专业基础课程</w:t>
          </w:r>
          <w:r>
            <w:tab/>
          </w:r>
          <w:r>
            <w:fldChar w:fldCharType="begin"/>
          </w:r>
          <w:r>
            <w:instrText xml:space="preserve"> PAGEREF _Toc7796 \h </w:instrText>
          </w:r>
          <w:r>
            <w:fldChar w:fldCharType="separate"/>
          </w:r>
          <w:r>
            <w:t>- 4 -</w:t>
          </w:r>
          <w:r>
            <w:fldChar w:fldCharType="end"/>
          </w:r>
          <w:r>
            <w:fldChar w:fldCharType="end"/>
          </w:r>
        </w:p>
        <w:p w14:paraId="35F27FE2">
          <w:pPr>
            <w:pStyle w:val="8"/>
            <w:tabs>
              <w:tab w:val="right" w:leader="dot" w:pos="9450"/>
            </w:tabs>
          </w:pPr>
          <w:r>
            <w:fldChar w:fldCharType="begin"/>
          </w:r>
          <w:r>
            <w:instrText xml:space="preserve"> HYPERLINK \l _Toc7705 </w:instrText>
          </w:r>
          <w:r>
            <w:fldChar w:fldCharType="separate"/>
          </w:r>
          <w:r>
            <w:t>（2）专业核心课程</w:t>
          </w:r>
          <w:r>
            <w:tab/>
          </w:r>
          <w:r>
            <w:fldChar w:fldCharType="begin"/>
          </w:r>
          <w:r>
            <w:instrText xml:space="preserve"> PAGEREF _Toc7705 \h </w:instrText>
          </w:r>
          <w:r>
            <w:fldChar w:fldCharType="separate"/>
          </w:r>
          <w:r>
            <w:t>- 4 -</w:t>
          </w:r>
          <w:r>
            <w:fldChar w:fldCharType="end"/>
          </w:r>
          <w:r>
            <w:fldChar w:fldCharType="end"/>
          </w:r>
        </w:p>
        <w:p w14:paraId="790E50A5">
          <w:pPr>
            <w:pStyle w:val="8"/>
            <w:tabs>
              <w:tab w:val="right" w:leader="dot" w:pos="9450"/>
            </w:tabs>
          </w:pPr>
          <w:r>
            <w:fldChar w:fldCharType="begin"/>
          </w:r>
          <w:r>
            <w:instrText xml:space="preserve"> HYPERLINK \l _Toc22287 </w:instrText>
          </w:r>
          <w:r>
            <w:fldChar w:fldCharType="separate"/>
          </w:r>
          <w:r>
            <w:t>（3）专业拓展课程</w:t>
          </w:r>
          <w:r>
            <w:tab/>
          </w:r>
          <w:r>
            <w:fldChar w:fldCharType="begin"/>
          </w:r>
          <w:r>
            <w:instrText xml:space="preserve"> PAGEREF _Toc22287 \h </w:instrText>
          </w:r>
          <w:r>
            <w:fldChar w:fldCharType="separate"/>
          </w:r>
          <w:r>
            <w:t>- 9 -</w:t>
          </w:r>
          <w:r>
            <w:fldChar w:fldCharType="end"/>
          </w:r>
          <w:r>
            <w:fldChar w:fldCharType="end"/>
          </w:r>
        </w:p>
        <w:p w14:paraId="366D0768">
          <w:pPr>
            <w:pStyle w:val="16"/>
            <w:tabs>
              <w:tab w:val="right" w:leader="dot" w:pos="9450"/>
            </w:tabs>
          </w:pPr>
          <w:r>
            <w:fldChar w:fldCharType="begin"/>
          </w:r>
          <w:r>
            <w:instrText xml:space="preserve"> HYPERLINK \l _Toc13294 </w:instrText>
          </w:r>
          <w:r>
            <w:fldChar w:fldCharType="separate"/>
          </w:r>
          <w:r>
            <w:rPr>
              <w:rFonts w:hint="default"/>
              <w:bCs w:val="0"/>
            </w:rPr>
            <w:t xml:space="preserve">3． </w:t>
          </w:r>
          <w:r>
            <w:rPr>
              <w:bCs w:val="0"/>
            </w:rPr>
            <w:t>实践性教学环节</w:t>
          </w:r>
          <w:r>
            <w:tab/>
          </w:r>
          <w:r>
            <w:fldChar w:fldCharType="begin"/>
          </w:r>
          <w:r>
            <w:instrText xml:space="preserve"> PAGEREF _Toc13294 \h </w:instrText>
          </w:r>
          <w:r>
            <w:fldChar w:fldCharType="separate"/>
          </w:r>
          <w:r>
            <w:t>- 9 -</w:t>
          </w:r>
          <w:r>
            <w:fldChar w:fldCharType="end"/>
          </w:r>
          <w:r>
            <w:fldChar w:fldCharType="end"/>
          </w:r>
        </w:p>
        <w:p w14:paraId="0DFB0CCB">
          <w:pPr>
            <w:pStyle w:val="8"/>
            <w:tabs>
              <w:tab w:val="right" w:leader="dot" w:pos="9450"/>
            </w:tabs>
          </w:pPr>
          <w:r>
            <w:fldChar w:fldCharType="begin"/>
          </w:r>
          <w:r>
            <w:instrText xml:space="preserve"> HYPERLINK \l _Toc14270 </w:instrText>
          </w:r>
          <w:r>
            <w:fldChar w:fldCharType="separate"/>
          </w:r>
          <w:r>
            <w:t>（1）实训</w:t>
          </w:r>
          <w:r>
            <w:tab/>
          </w:r>
          <w:r>
            <w:fldChar w:fldCharType="begin"/>
          </w:r>
          <w:r>
            <w:instrText xml:space="preserve"> PAGEREF _Toc14270 \h </w:instrText>
          </w:r>
          <w:r>
            <w:fldChar w:fldCharType="separate"/>
          </w:r>
          <w:r>
            <w:t>- 9 -</w:t>
          </w:r>
          <w:r>
            <w:fldChar w:fldCharType="end"/>
          </w:r>
          <w:r>
            <w:fldChar w:fldCharType="end"/>
          </w:r>
        </w:p>
        <w:p w14:paraId="177BAA07">
          <w:pPr>
            <w:pStyle w:val="8"/>
            <w:tabs>
              <w:tab w:val="right" w:leader="dot" w:pos="9450"/>
            </w:tabs>
          </w:pPr>
          <w:r>
            <w:fldChar w:fldCharType="begin"/>
          </w:r>
          <w:r>
            <w:instrText xml:space="preserve"> HYPERLINK \l _Toc2037 </w:instrText>
          </w:r>
          <w:r>
            <w:fldChar w:fldCharType="separate"/>
          </w:r>
          <w:r>
            <w:t>（2）实习</w:t>
          </w:r>
          <w:r>
            <w:tab/>
          </w:r>
          <w:r>
            <w:fldChar w:fldCharType="begin"/>
          </w:r>
          <w:r>
            <w:instrText xml:space="preserve"> PAGEREF _Toc2037 \h </w:instrText>
          </w:r>
          <w:r>
            <w:fldChar w:fldCharType="separate"/>
          </w:r>
          <w:r>
            <w:t>- 9 -</w:t>
          </w:r>
          <w:r>
            <w:fldChar w:fldCharType="end"/>
          </w:r>
          <w:r>
            <w:fldChar w:fldCharType="end"/>
          </w:r>
        </w:p>
        <w:p w14:paraId="4BFE4DB7">
          <w:pPr>
            <w:pStyle w:val="16"/>
            <w:tabs>
              <w:tab w:val="right" w:leader="dot" w:pos="9450"/>
            </w:tabs>
          </w:pPr>
          <w:r>
            <w:fldChar w:fldCharType="begin"/>
          </w:r>
          <w:r>
            <w:instrText xml:space="preserve"> HYPERLINK \l _Toc17294 </w:instrText>
          </w:r>
          <w:r>
            <w:fldChar w:fldCharType="separate"/>
          </w:r>
          <w:r>
            <w:rPr>
              <w:rFonts w:hint="default"/>
              <w:bCs w:val="0"/>
            </w:rPr>
            <w:t xml:space="preserve">4． </w:t>
          </w:r>
          <w:r>
            <w:rPr>
              <w:bCs w:val="0"/>
            </w:rPr>
            <w:t>相关要求</w:t>
          </w:r>
          <w:r>
            <w:tab/>
          </w:r>
          <w:r>
            <w:fldChar w:fldCharType="begin"/>
          </w:r>
          <w:r>
            <w:instrText xml:space="preserve"> PAGEREF _Toc17294 \h </w:instrText>
          </w:r>
          <w:r>
            <w:fldChar w:fldCharType="separate"/>
          </w:r>
          <w:r>
            <w:t>- 10 -</w:t>
          </w:r>
          <w:r>
            <w:fldChar w:fldCharType="end"/>
          </w:r>
          <w:r>
            <w:fldChar w:fldCharType="end"/>
          </w:r>
        </w:p>
        <w:p w14:paraId="51545DC9">
          <w:pPr>
            <w:pStyle w:val="15"/>
            <w:numPr>
              <w:ilvl w:val="0"/>
              <w:numId w:val="0"/>
            </w:numPr>
            <w:tabs>
              <w:tab w:val="right" w:leader="dot" w:pos="9450"/>
              <w:tab w:val="clear" w:pos="9440"/>
            </w:tabs>
            <w:ind w:leftChars="0"/>
          </w:pPr>
          <w:r>
            <w:fldChar w:fldCharType="begin"/>
          </w:r>
          <w:r>
            <w:instrText xml:space="preserve"> HYPERLINK \l _Toc3705 </w:instrText>
          </w:r>
          <w:r>
            <w:fldChar w:fldCharType="separate"/>
          </w:r>
          <w:r>
            <w:rPr>
              <w:rFonts w:hint="default"/>
            </w:rPr>
            <w:t xml:space="preserve">七、 </w:t>
          </w:r>
          <w:r>
            <w:t>学时安排</w:t>
          </w:r>
          <w:r>
            <w:tab/>
          </w:r>
          <w:r>
            <w:fldChar w:fldCharType="begin"/>
          </w:r>
          <w:r>
            <w:instrText xml:space="preserve"> PAGEREF _Toc3705 \h </w:instrText>
          </w:r>
          <w:r>
            <w:fldChar w:fldCharType="separate"/>
          </w:r>
          <w:r>
            <w:t>- 10 -</w:t>
          </w:r>
          <w:r>
            <w:fldChar w:fldCharType="end"/>
          </w:r>
          <w:r>
            <w:fldChar w:fldCharType="end"/>
          </w:r>
        </w:p>
        <w:p w14:paraId="1462FEC0">
          <w:pPr>
            <w:pStyle w:val="15"/>
            <w:numPr>
              <w:ilvl w:val="0"/>
              <w:numId w:val="0"/>
            </w:numPr>
            <w:tabs>
              <w:tab w:val="right" w:leader="dot" w:pos="9450"/>
              <w:tab w:val="clear" w:pos="9440"/>
            </w:tabs>
            <w:ind w:leftChars="0"/>
          </w:pPr>
          <w:r>
            <w:fldChar w:fldCharType="begin"/>
          </w:r>
          <w:r>
            <w:instrText xml:space="preserve"> HYPERLINK \l _Toc27973 </w:instrText>
          </w:r>
          <w:r>
            <w:fldChar w:fldCharType="separate"/>
          </w:r>
          <w:r>
            <w:rPr>
              <w:rFonts w:hint="default"/>
            </w:rPr>
            <w:t xml:space="preserve">八、 </w:t>
          </w:r>
          <w:r>
            <w:t>教学活动时间分配表</w:t>
          </w:r>
          <w:r>
            <w:tab/>
          </w:r>
          <w:r>
            <w:fldChar w:fldCharType="begin"/>
          </w:r>
          <w:r>
            <w:instrText xml:space="preserve"> PAGEREF _Toc27973 \h </w:instrText>
          </w:r>
          <w:r>
            <w:fldChar w:fldCharType="separate"/>
          </w:r>
          <w:r>
            <w:t>- 10 -</w:t>
          </w:r>
          <w:r>
            <w:fldChar w:fldCharType="end"/>
          </w:r>
          <w:r>
            <w:fldChar w:fldCharType="end"/>
          </w:r>
        </w:p>
        <w:p w14:paraId="0051964E">
          <w:pPr>
            <w:pStyle w:val="15"/>
            <w:numPr>
              <w:ilvl w:val="0"/>
              <w:numId w:val="0"/>
            </w:numPr>
            <w:tabs>
              <w:tab w:val="right" w:leader="dot" w:pos="9450"/>
              <w:tab w:val="clear" w:pos="9440"/>
            </w:tabs>
            <w:ind w:leftChars="0"/>
          </w:pPr>
          <w:r>
            <w:fldChar w:fldCharType="begin"/>
          </w:r>
          <w:r>
            <w:instrText xml:space="preserve"> HYPERLINK \l _Toc10281 </w:instrText>
          </w:r>
          <w:r>
            <w:fldChar w:fldCharType="separate"/>
          </w:r>
          <w:r>
            <w:rPr>
              <w:rFonts w:hint="default"/>
            </w:rPr>
            <w:t xml:space="preserve">九、 </w:t>
          </w:r>
          <w:r>
            <w:t>学时分配比例表</w:t>
          </w:r>
          <w:r>
            <w:tab/>
          </w:r>
          <w:r>
            <w:fldChar w:fldCharType="begin"/>
          </w:r>
          <w:r>
            <w:instrText xml:space="preserve"> PAGEREF _Toc10281 \h </w:instrText>
          </w:r>
          <w:r>
            <w:fldChar w:fldCharType="separate"/>
          </w:r>
          <w:r>
            <w:t>- 11 -</w:t>
          </w:r>
          <w:r>
            <w:fldChar w:fldCharType="end"/>
          </w:r>
          <w:r>
            <w:fldChar w:fldCharType="end"/>
          </w:r>
        </w:p>
        <w:p w14:paraId="7EFE22DF">
          <w:pPr>
            <w:pStyle w:val="15"/>
            <w:numPr>
              <w:ilvl w:val="0"/>
              <w:numId w:val="0"/>
            </w:numPr>
            <w:tabs>
              <w:tab w:val="right" w:leader="dot" w:pos="9450"/>
              <w:tab w:val="clear" w:pos="9440"/>
            </w:tabs>
            <w:ind w:leftChars="0"/>
          </w:pPr>
          <w:r>
            <w:fldChar w:fldCharType="begin"/>
          </w:r>
          <w:r>
            <w:instrText xml:space="preserve"> HYPERLINK \l _Toc28625 </w:instrText>
          </w:r>
          <w:r>
            <w:fldChar w:fldCharType="separate"/>
          </w:r>
          <w:r>
            <w:rPr>
              <w:rFonts w:hint="default"/>
              <w:szCs w:val="22"/>
            </w:rPr>
            <w:t xml:space="preserve">十、 </w:t>
          </w:r>
          <w:r>
            <w:t>教学计划进程表</w:t>
          </w:r>
          <w:r>
            <w:tab/>
          </w:r>
          <w:r>
            <w:fldChar w:fldCharType="begin"/>
          </w:r>
          <w:r>
            <w:instrText xml:space="preserve"> PAGEREF _Toc28625 \h </w:instrText>
          </w:r>
          <w:r>
            <w:fldChar w:fldCharType="separate"/>
          </w:r>
          <w:r>
            <w:t>- 12 -</w:t>
          </w:r>
          <w:r>
            <w:fldChar w:fldCharType="end"/>
          </w:r>
          <w:r>
            <w:fldChar w:fldCharType="end"/>
          </w:r>
        </w:p>
        <w:p w14:paraId="127B3E9F">
          <w:pPr>
            <w:pStyle w:val="15"/>
            <w:numPr>
              <w:ilvl w:val="0"/>
              <w:numId w:val="0"/>
            </w:numPr>
            <w:tabs>
              <w:tab w:val="right" w:leader="dot" w:pos="9450"/>
              <w:tab w:val="clear" w:pos="9440"/>
            </w:tabs>
            <w:ind w:leftChars="0"/>
          </w:pPr>
          <w:r>
            <w:fldChar w:fldCharType="begin"/>
          </w:r>
          <w:r>
            <w:instrText xml:space="preserve"> HYPERLINK \l _Toc30032 </w:instrText>
          </w:r>
          <w:r>
            <w:fldChar w:fldCharType="separate"/>
          </w:r>
          <w:r>
            <w:rPr>
              <w:rFonts w:hint="default"/>
            </w:rPr>
            <w:t xml:space="preserve">十一、 </w:t>
          </w:r>
          <w:r>
            <w:t>实施保障</w:t>
          </w:r>
          <w:r>
            <w:tab/>
          </w:r>
          <w:r>
            <w:fldChar w:fldCharType="begin"/>
          </w:r>
          <w:r>
            <w:instrText xml:space="preserve"> PAGEREF _Toc30032 \h </w:instrText>
          </w:r>
          <w:r>
            <w:fldChar w:fldCharType="separate"/>
          </w:r>
          <w:r>
            <w:t>- 13 -</w:t>
          </w:r>
          <w:r>
            <w:fldChar w:fldCharType="end"/>
          </w:r>
          <w:r>
            <w:fldChar w:fldCharType="end"/>
          </w:r>
        </w:p>
        <w:p w14:paraId="220C85EC">
          <w:pPr>
            <w:pStyle w:val="16"/>
            <w:tabs>
              <w:tab w:val="right" w:leader="dot" w:pos="9450"/>
            </w:tabs>
          </w:pPr>
          <w:r>
            <w:fldChar w:fldCharType="begin"/>
          </w:r>
          <w:r>
            <w:instrText xml:space="preserve"> HYPERLINK \l _Toc16156 </w:instrText>
          </w:r>
          <w:r>
            <w:fldChar w:fldCharType="separate"/>
          </w:r>
          <w:r>
            <w:t>（一）师资队伍</w:t>
          </w:r>
          <w:r>
            <w:tab/>
          </w:r>
          <w:r>
            <w:fldChar w:fldCharType="begin"/>
          </w:r>
          <w:r>
            <w:instrText xml:space="preserve"> PAGEREF _Toc16156 \h </w:instrText>
          </w:r>
          <w:r>
            <w:fldChar w:fldCharType="separate"/>
          </w:r>
          <w:r>
            <w:t>- 13 -</w:t>
          </w:r>
          <w:r>
            <w:fldChar w:fldCharType="end"/>
          </w:r>
          <w:r>
            <w:fldChar w:fldCharType="end"/>
          </w:r>
        </w:p>
        <w:p w14:paraId="7AA9E6BB">
          <w:pPr>
            <w:pStyle w:val="8"/>
            <w:tabs>
              <w:tab w:val="right" w:leader="dot" w:pos="9450"/>
            </w:tabs>
          </w:pPr>
          <w:r>
            <w:fldChar w:fldCharType="begin"/>
          </w:r>
          <w:r>
            <w:instrText xml:space="preserve"> HYPERLINK \l _Toc17362 </w:instrText>
          </w:r>
          <w:r>
            <w:fldChar w:fldCharType="separate"/>
          </w:r>
          <w:r>
            <w:rPr>
              <w:bCs/>
            </w:rPr>
            <w:t>1</w:t>
          </w:r>
          <w:r>
            <w:rPr>
              <w:rFonts w:hint="eastAsia"/>
              <w:bCs/>
            </w:rPr>
            <w:t>.</w:t>
          </w:r>
          <w:r>
            <w:rPr>
              <w:bCs/>
            </w:rPr>
            <w:t>队伍结构</w:t>
          </w:r>
          <w:r>
            <w:tab/>
          </w:r>
          <w:r>
            <w:fldChar w:fldCharType="begin"/>
          </w:r>
          <w:r>
            <w:instrText xml:space="preserve"> PAGEREF _Toc17362 \h </w:instrText>
          </w:r>
          <w:r>
            <w:fldChar w:fldCharType="separate"/>
          </w:r>
          <w:r>
            <w:t>- 13 -</w:t>
          </w:r>
          <w:r>
            <w:fldChar w:fldCharType="end"/>
          </w:r>
          <w:r>
            <w:fldChar w:fldCharType="end"/>
          </w:r>
        </w:p>
        <w:p w14:paraId="0097E87D">
          <w:pPr>
            <w:pStyle w:val="8"/>
            <w:tabs>
              <w:tab w:val="right" w:leader="dot" w:pos="9450"/>
            </w:tabs>
          </w:pPr>
          <w:r>
            <w:fldChar w:fldCharType="begin"/>
          </w:r>
          <w:r>
            <w:instrText xml:space="preserve"> HYPERLINK \l _Toc31890 </w:instrText>
          </w:r>
          <w:r>
            <w:fldChar w:fldCharType="separate"/>
          </w:r>
          <w:r>
            <w:rPr>
              <w:bCs/>
            </w:rPr>
            <w:t>2</w:t>
          </w:r>
          <w:r>
            <w:rPr>
              <w:rFonts w:hint="eastAsia"/>
              <w:bCs/>
            </w:rPr>
            <w:t>.</w:t>
          </w:r>
          <w:r>
            <w:rPr>
              <w:bCs/>
            </w:rPr>
            <w:t>专业带头人</w:t>
          </w:r>
          <w:r>
            <w:tab/>
          </w:r>
          <w:r>
            <w:fldChar w:fldCharType="begin"/>
          </w:r>
          <w:r>
            <w:instrText xml:space="preserve"> PAGEREF _Toc31890 \h </w:instrText>
          </w:r>
          <w:r>
            <w:fldChar w:fldCharType="separate"/>
          </w:r>
          <w:r>
            <w:t>- 13 -</w:t>
          </w:r>
          <w:r>
            <w:fldChar w:fldCharType="end"/>
          </w:r>
          <w:r>
            <w:fldChar w:fldCharType="end"/>
          </w:r>
        </w:p>
        <w:p w14:paraId="3F9F0003">
          <w:pPr>
            <w:pStyle w:val="8"/>
            <w:tabs>
              <w:tab w:val="right" w:leader="dot" w:pos="9450"/>
            </w:tabs>
          </w:pPr>
          <w:r>
            <w:fldChar w:fldCharType="begin"/>
          </w:r>
          <w:r>
            <w:instrText xml:space="preserve"> HYPERLINK \l _Toc30231 </w:instrText>
          </w:r>
          <w:r>
            <w:fldChar w:fldCharType="separate"/>
          </w:r>
          <w:r>
            <w:rPr>
              <w:bCs/>
            </w:rPr>
            <w:t>3</w:t>
          </w:r>
          <w:r>
            <w:rPr>
              <w:rFonts w:hint="eastAsia"/>
              <w:bCs/>
            </w:rPr>
            <w:t>.</w:t>
          </w:r>
          <w:r>
            <w:rPr>
              <w:bCs/>
            </w:rPr>
            <w:t>专任教师</w:t>
          </w:r>
          <w:r>
            <w:tab/>
          </w:r>
          <w:r>
            <w:fldChar w:fldCharType="begin"/>
          </w:r>
          <w:r>
            <w:instrText xml:space="preserve"> PAGEREF _Toc30231 \h </w:instrText>
          </w:r>
          <w:r>
            <w:fldChar w:fldCharType="separate"/>
          </w:r>
          <w:r>
            <w:t>- 13 -</w:t>
          </w:r>
          <w:r>
            <w:fldChar w:fldCharType="end"/>
          </w:r>
          <w:r>
            <w:fldChar w:fldCharType="end"/>
          </w:r>
        </w:p>
        <w:p w14:paraId="6D7D3D87">
          <w:pPr>
            <w:pStyle w:val="8"/>
            <w:tabs>
              <w:tab w:val="right" w:leader="dot" w:pos="9450"/>
            </w:tabs>
          </w:pPr>
          <w:r>
            <w:fldChar w:fldCharType="begin"/>
          </w:r>
          <w:r>
            <w:instrText xml:space="preserve"> HYPERLINK \l _Toc29928 </w:instrText>
          </w:r>
          <w:r>
            <w:fldChar w:fldCharType="separate"/>
          </w:r>
          <w:r>
            <w:rPr>
              <w:bCs/>
            </w:rPr>
            <w:t>4</w:t>
          </w:r>
          <w:r>
            <w:rPr>
              <w:rFonts w:hint="eastAsia"/>
              <w:bCs/>
              <w:lang w:val="en-US" w:eastAsia="zh-CN"/>
            </w:rPr>
            <w:t>.</w:t>
          </w:r>
          <w:r>
            <w:rPr>
              <w:bCs/>
            </w:rPr>
            <w:t>兼职教师</w:t>
          </w:r>
          <w:r>
            <w:tab/>
          </w:r>
          <w:r>
            <w:fldChar w:fldCharType="begin"/>
          </w:r>
          <w:r>
            <w:instrText xml:space="preserve"> PAGEREF _Toc29928 \h </w:instrText>
          </w:r>
          <w:r>
            <w:fldChar w:fldCharType="separate"/>
          </w:r>
          <w:r>
            <w:t>- 13 -</w:t>
          </w:r>
          <w:r>
            <w:fldChar w:fldCharType="end"/>
          </w:r>
          <w:r>
            <w:fldChar w:fldCharType="end"/>
          </w:r>
        </w:p>
        <w:p w14:paraId="394CC7BF">
          <w:pPr>
            <w:pStyle w:val="16"/>
            <w:tabs>
              <w:tab w:val="right" w:leader="dot" w:pos="9450"/>
            </w:tabs>
          </w:pPr>
          <w:r>
            <w:fldChar w:fldCharType="begin"/>
          </w:r>
          <w:r>
            <w:instrText xml:space="preserve"> HYPERLINK \l _Toc29258 </w:instrText>
          </w:r>
          <w:r>
            <w:fldChar w:fldCharType="separate"/>
          </w:r>
          <w:r>
            <w:t>（二）教学设施</w:t>
          </w:r>
          <w:r>
            <w:rPr>
              <w:rFonts w:hint="eastAsia"/>
              <w:vanish/>
            </w:rPr>
            <w:t>（参照教育部标准）</w:t>
          </w:r>
          <w:r>
            <w:tab/>
          </w:r>
          <w:r>
            <w:fldChar w:fldCharType="begin"/>
          </w:r>
          <w:r>
            <w:instrText xml:space="preserve"> PAGEREF _Toc29258 \h </w:instrText>
          </w:r>
          <w:r>
            <w:fldChar w:fldCharType="separate"/>
          </w:r>
          <w:r>
            <w:t>- 14 -</w:t>
          </w:r>
          <w:r>
            <w:fldChar w:fldCharType="end"/>
          </w:r>
          <w:r>
            <w:fldChar w:fldCharType="end"/>
          </w:r>
        </w:p>
        <w:p w14:paraId="50EDD29E">
          <w:pPr>
            <w:pStyle w:val="8"/>
            <w:tabs>
              <w:tab w:val="right" w:leader="dot" w:pos="9450"/>
            </w:tabs>
          </w:pPr>
          <w:r>
            <w:fldChar w:fldCharType="begin"/>
          </w:r>
          <w:r>
            <w:instrText xml:space="preserve"> HYPERLINK \l _Toc6355 </w:instrText>
          </w:r>
          <w:r>
            <w:fldChar w:fldCharType="separate"/>
          </w:r>
          <w:r>
            <w:rPr>
              <w:bCs/>
            </w:rPr>
            <w:t>1.专业教室基本要求</w:t>
          </w:r>
          <w:r>
            <w:tab/>
          </w:r>
          <w:r>
            <w:fldChar w:fldCharType="begin"/>
          </w:r>
          <w:r>
            <w:instrText xml:space="preserve"> PAGEREF _Toc6355 \h </w:instrText>
          </w:r>
          <w:r>
            <w:fldChar w:fldCharType="separate"/>
          </w:r>
          <w:r>
            <w:t>- 14 -</w:t>
          </w:r>
          <w:r>
            <w:fldChar w:fldCharType="end"/>
          </w:r>
          <w:r>
            <w:fldChar w:fldCharType="end"/>
          </w:r>
        </w:p>
        <w:p w14:paraId="39BF5098">
          <w:pPr>
            <w:pStyle w:val="8"/>
            <w:tabs>
              <w:tab w:val="right" w:leader="dot" w:pos="9450"/>
            </w:tabs>
          </w:pPr>
          <w:r>
            <w:fldChar w:fldCharType="begin"/>
          </w:r>
          <w:r>
            <w:instrText xml:space="preserve"> HYPERLINK \l _Toc25752 </w:instrText>
          </w:r>
          <w:r>
            <w:fldChar w:fldCharType="separate"/>
          </w:r>
          <w:r>
            <w:rPr>
              <w:bCs/>
            </w:rPr>
            <w:t>2.校内外实验、实训场所基本要求</w:t>
          </w:r>
          <w:r>
            <w:tab/>
          </w:r>
          <w:r>
            <w:fldChar w:fldCharType="begin"/>
          </w:r>
          <w:r>
            <w:instrText xml:space="preserve"> PAGEREF _Toc25752 \h </w:instrText>
          </w:r>
          <w:r>
            <w:fldChar w:fldCharType="separate"/>
          </w:r>
          <w:r>
            <w:t>- 14 -</w:t>
          </w:r>
          <w:r>
            <w:fldChar w:fldCharType="end"/>
          </w:r>
          <w:r>
            <w:fldChar w:fldCharType="end"/>
          </w:r>
        </w:p>
        <w:p w14:paraId="7F471919">
          <w:pPr>
            <w:pStyle w:val="8"/>
            <w:tabs>
              <w:tab w:val="right" w:leader="dot" w:pos="9450"/>
            </w:tabs>
          </w:pPr>
          <w:r>
            <w:fldChar w:fldCharType="begin"/>
          </w:r>
          <w:r>
            <w:instrText xml:space="preserve"> HYPERLINK \l _Toc12508 </w:instrText>
          </w:r>
          <w:r>
            <w:fldChar w:fldCharType="separate"/>
          </w:r>
          <w:r>
            <w:rPr>
              <w:bCs/>
            </w:rPr>
            <w:t>3</w:t>
          </w:r>
          <w:r>
            <w:rPr>
              <w:rFonts w:hint="eastAsia"/>
              <w:bCs/>
            </w:rPr>
            <w:t>.</w:t>
          </w:r>
          <w:r>
            <w:rPr>
              <w:bCs/>
            </w:rPr>
            <w:t>实习场所基本要求</w:t>
          </w:r>
          <w:r>
            <w:tab/>
          </w:r>
          <w:r>
            <w:fldChar w:fldCharType="begin"/>
          </w:r>
          <w:r>
            <w:instrText xml:space="preserve"> PAGEREF _Toc12508 \h </w:instrText>
          </w:r>
          <w:r>
            <w:fldChar w:fldCharType="separate"/>
          </w:r>
          <w:r>
            <w:t>- 15 -</w:t>
          </w:r>
          <w:r>
            <w:fldChar w:fldCharType="end"/>
          </w:r>
          <w:r>
            <w:fldChar w:fldCharType="end"/>
          </w:r>
        </w:p>
        <w:p w14:paraId="6DBF1A02">
          <w:pPr>
            <w:pStyle w:val="16"/>
            <w:tabs>
              <w:tab w:val="right" w:leader="dot" w:pos="9450"/>
            </w:tabs>
          </w:pPr>
          <w:r>
            <w:fldChar w:fldCharType="begin"/>
          </w:r>
          <w:r>
            <w:instrText xml:space="preserve"> HYPERLINK \l _Toc13389 </w:instrText>
          </w:r>
          <w:r>
            <w:fldChar w:fldCharType="separate"/>
          </w:r>
          <w:r>
            <w:t>（三）教学资源</w:t>
          </w:r>
          <w:r>
            <w:tab/>
          </w:r>
          <w:r>
            <w:fldChar w:fldCharType="begin"/>
          </w:r>
          <w:r>
            <w:instrText xml:space="preserve"> PAGEREF _Toc13389 \h </w:instrText>
          </w:r>
          <w:r>
            <w:fldChar w:fldCharType="separate"/>
          </w:r>
          <w:r>
            <w:t>- 15 -</w:t>
          </w:r>
          <w:r>
            <w:fldChar w:fldCharType="end"/>
          </w:r>
          <w:r>
            <w:fldChar w:fldCharType="end"/>
          </w:r>
        </w:p>
        <w:p w14:paraId="1A94150B">
          <w:pPr>
            <w:pStyle w:val="8"/>
            <w:tabs>
              <w:tab w:val="right" w:leader="dot" w:pos="9450"/>
            </w:tabs>
          </w:pPr>
          <w:r>
            <w:fldChar w:fldCharType="begin"/>
          </w:r>
          <w:r>
            <w:instrText xml:space="preserve"> HYPERLINK \l _Toc19570 </w:instrText>
          </w:r>
          <w:r>
            <w:fldChar w:fldCharType="separate"/>
          </w:r>
          <w:r>
            <w:rPr>
              <w:bCs/>
            </w:rPr>
            <w:t>1</w:t>
          </w:r>
          <w:r>
            <w:rPr>
              <w:rFonts w:hint="eastAsia"/>
              <w:bCs/>
            </w:rPr>
            <w:t>.</w:t>
          </w:r>
          <w:r>
            <w:rPr>
              <w:bCs/>
            </w:rPr>
            <w:t>教材选用基本要求</w:t>
          </w:r>
          <w:r>
            <w:tab/>
          </w:r>
          <w:r>
            <w:fldChar w:fldCharType="begin"/>
          </w:r>
          <w:r>
            <w:instrText xml:space="preserve"> PAGEREF _Toc19570 \h </w:instrText>
          </w:r>
          <w:r>
            <w:fldChar w:fldCharType="separate"/>
          </w:r>
          <w:r>
            <w:t>- 15 -</w:t>
          </w:r>
          <w:r>
            <w:fldChar w:fldCharType="end"/>
          </w:r>
          <w:r>
            <w:fldChar w:fldCharType="end"/>
          </w:r>
        </w:p>
        <w:p w14:paraId="31BF9DC9">
          <w:pPr>
            <w:pStyle w:val="8"/>
            <w:tabs>
              <w:tab w:val="right" w:leader="dot" w:pos="9450"/>
            </w:tabs>
          </w:pPr>
          <w:r>
            <w:fldChar w:fldCharType="begin"/>
          </w:r>
          <w:r>
            <w:instrText xml:space="preserve"> HYPERLINK \l _Toc19208 </w:instrText>
          </w:r>
          <w:r>
            <w:fldChar w:fldCharType="separate"/>
          </w:r>
          <w:r>
            <w:rPr>
              <w:bCs/>
            </w:rPr>
            <w:t>2.图书文献配备基本要求</w:t>
          </w:r>
          <w:r>
            <w:tab/>
          </w:r>
          <w:r>
            <w:fldChar w:fldCharType="begin"/>
          </w:r>
          <w:r>
            <w:instrText xml:space="preserve"> PAGEREF _Toc19208 \h </w:instrText>
          </w:r>
          <w:r>
            <w:fldChar w:fldCharType="separate"/>
          </w:r>
          <w:r>
            <w:t>- 16 -</w:t>
          </w:r>
          <w:r>
            <w:fldChar w:fldCharType="end"/>
          </w:r>
          <w:r>
            <w:fldChar w:fldCharType="end"/>
          </w:r>
        </w:p>
        <w:p w14:paraId="73758B41">
          <w:pPr>
            <w:pStyle w:val="8"/>
            <w:tabs>
              <w:tab w:val="right" w:leader="dot" w:pos="9450"/>
            </w:tabs>
          </w:pPr>
          <w:r>
            <w:fldChar w:fldCharType="begin"/>
          </w:r>
          <w:r>
            <w:instrText xml:space="preserve"> HYPERLINK \l _Toc12007 </w:instrText>
          </w:r>
          <w:r>
            <w:fldChar w:fldCharType="separate"/>
          </w:r>
          <w:r>
            <w:rPr>
              <w:bCs/>
            </w:rPr>
            <w:t>3</w:t>
          </w:r>
          <w:r>
            <w:rPr>
              <w:rFonts w:hint="eastAsia"/>
              <w:bCs/>
            </w:rPr>
            <w:t>.</w:t>
          </w:r>
          <w:r>
            <w:rPr>
              <w:bCs/>
            </w:rPr>
            <w:t>数字教学资源配置基本要求</w:t>
          </w:r>
          <w:r>
            <w:tab/>
          </w:r>
          <w:r>
            <w:fldChar w:fldCharType="begin"/>
          </w:r>
          <w:r>
            <w:instrText xml:space="preserve"> PAGEREF _Toc12007 \h </w:instrText>
          </w:r>
          <w:r>
            <w:fldChar w:fldCharType="separate"/>
          </w:r>
          <w:r>
            <w:t>- 16 -</w:t>
          </w:r>
          <w:r>
            <w:fldChar w:fldCharType="end"/>
          </w:r>
          <w:r>
            <w:fldChar w:fldCharType="end"/>
          </w:r>
        </w:p>
        <w:p w14:paraId="669A0B09">
          <w:pPr>
            <w:pStyle w:val="15"/>
            <w:numPr>
              <w:ilvl w:val="0"/>
              <w:numId w:val="0"/>
            </w:numPr>
            <w:tabs>
              <w:tab w:val="right" w:leader="dot" w:pos="9450"/>
              <w:tab w:val="clear" w:pos="9440"/>
            </w:tabs>
            <w:ind w:leftChars="0"/>
          </w:pPr>
          <w:r>
            <w:fldChar w:fldCharType="begin"/>
          </w:r>
          <w:r>
            <w:instrText xml:space="preserve"> HYPERLINK \l _Toc1626 </w:instrText>
          </w:r>
          <w:r>
            <w:fldChar w:fldCharType="separate"/>
          </w:r>
          <w:r>
            <w:rPr>
              <w:rFonts w:hint="default"/>
            </w:rPr>
            <w:t xml:space="preserve">十二、 </w:t>
          </w:r>
          <w:r>
            <w:t>质量保障和毕业要求</w:t>
          </w:r>
          <w:r>
            <w:tab/>
          </w:r>
          <w:r>
            <w:fldChar w:fldCharType="begin"/>
          </w:r>
          <w:r>
            <w:instrText xml:space="preserve"> PAGEREF _Toc1626 \h </w:instrText>
          </w:r>
          <w:r>
            <w:fldChar w:fldCharType="separate"/>
          </w:r>
          <w:r>
            <w:t>- 16 -</w:t>
          </w:r>
          <w:r>
            <w:fldChar w:fldCharType="end"/>
          </w:r>
          <w:r>
            <w:fldChar w:fldCharType="end"/>
          </w:r>
        </w:p>
        <w:p w14:paraId="48F8184C">
          <w:pPr>
            <w:pStyle w:val="16"/>
            <w:tabs>
              <w:tab w:val="right" w:leader="dot" w:pos="9450"/>
            </w:tabs>
          </w:pPr>
          <w:r>
            <w:fldChar w:fldCharType="begin"/>
          </w:r>
          <w:r>
            <w:instrText xml:space="preserve"> HYPERLINK \l _Toc20733 </w:instrText>
          </w:r>
          <w:r>
            <w:fldChar w:fldCharType="separate"/>
          </w:r>
          <w:r>
            <w:rPr>
              <w:bCs/>
            </w:rPr>
            <w:t>1</w:t>
          </w:r>
          <w:r>
            <w:rPr>
              <w:rFonts w:hint="eastAsia"/>
              <w:bCs/>
            </w:rPr>
            <w:t>.</w:t>
          </w:r>
          <w:r>
            <w:rPr>
              <w:bCs/>
            </w:rPr>
            <w:t>质量保障</w:t>
          </w:r>
          <w:r>
            <w:tab/>
          </w:r>
          <w:r>
            <w:fldChar w:fldCharType="begin"/>
          </w:r>
          <w:r>
            <w:instrText xml:space="preserve"> PAGEREF _Toc20733 \h </w:instrText>
          </w:r>
          <w:r>
            <w:fldChar w:fldCharType="separate"/>
          </w:r>
          <w:r>
            <w:t>- 16 -</w:t>
          </w:r>
          <w:r>
            <w:fldChar w:fldCharType="end"/>
          </w:r>
          <w:r>
            <w:fldChar w:fldCharType="end"/>
          </w:r>
        </w:p>
        <w:p w14:paraId="1C402D50">
          <w:pPr>
            <w:pStyle w:val="16"/>
            <w:tabs>
              <w:tab w:val="right" w:leader="dot" w:pos="9450"/>
            </w:tabs>
          </w:pPr>
          <w:r>
            <w:fldChar w:fldCharType="begin"/>
          </w:r>
          <w:r>
            <w:instrText xml:space="preserve"> HYPERLINK \l _Toc12171 </w:instrText>
          </w:r>
          <w:r>
            <w:fldChar w:fldCharType="separate"/>
          </w:r>
          <w:r>
            <w:rPr>
              <w:bCs/>
            </w:rPr>
            <w:t>2</w:t>
          </w:r>
          <w:r>
            <w:rPr>
              <w:rFonts w:hint="eastAsia"/>
              <w:bCs/>
            </w:rPr>
            <w:t>.</w:t>
          </w:r>
          <w:r>
            <w:rPr>
              <w:bCs/>
            </w:rPr>
            <w:t>毕业要求</w:t>
          </w:r>
          <w:r>
            <w:tab/>
          </w:r>
          <w:r>
            <w:fldChar w:fldCharType="begin"/>
          </w:r>
          <w:r>
            <w:instrText xml:space="preserve"> PAGEREF _Toc12171 \h </w:instrText>
          </w:r>
          <w:r>
            <w:fldChar w:fldCharType="separate"/>
          </w:r>
          <w:r>
            <w:t>- 16 -</w:t>
          </w:r>
          <w:r>
            <w:fldChar w:fldCharType="end"/>
          </w:r>
          <w:r>
            <w:fldChar w:fldCharType="end"/>
          </w:r>
        </w:p>
        <w:p w14:paraId="574C5C7C">
          <w:pPr>
            <w:rPr>
              <w:rFonts w:ascii="Times New Roman" w:hAnsi="Times New Roman" w:eastAsia="宋体" w:cs="Times New Roman"/>
              <w:kern w:val="2"/>
              <w:sz w:val="21"/>
              <w:szCs w:val="24"/>
              <w:lang w:val="en-US" w:eastAsia="zh-CN" w:bidi="ar-SA"/>
            </w:rPr>
          </w:pPr>
          <w:r>
            <w:fldChar w:fldCharType="end"/>
          </w:r>
        </w:p>
      </w:sdtContent>
    </w:sdt>
    <w:p w14:paraId="18FC2173">
      <w:pPr>
        <w:rPr>
          <w:rFonts w:ascii="Times New Roman" w:hAnsi="Times New Roman" w:eastAsia="宋体" w:cs="Times New Roman"/>
          <w:kern w:val="2"/>
          <w:sz w:val="21"/>
          <w:szCs w:val="24"/>
          <w:lang w:val="en-US" w:eastAsia="zh-CN" w:bidi="ar-SA"/>
        </w:rPr>
        <w:sectPr>
          <w:pgSz w:w="11906" w:h="16838"/>
          <w:pgMar w:top="1418" w:right="1301" w:bottom="1091" w:left="1155" w:header="851" w:footer="731" w:gutter="0"/>
          <w:pgNumType w:start="1"/>
          <w:cols w:space="425" w:num="1"/>
          <w:docGrid w:type="lines" w:linePitch="312" w:charSpace="0"/>
        </w:sectPr>
      </w:pPr>
    </w:p>
    <w:p w14:paraId="7ABB3370">
      <w:pPr>
        <w:jc w:val="center"/>
        <w:rPr>
          <w:rFonts w:ascii="华文中宋" w:hAnsi="华文中宋" w:eastAsia="华文中宋"/>
          <w:b/>
          <w:bCs/>
          <w:kern w:val="44"/>
          <w:sz w:val="44"/>
          <w:szCs w:val="44"/>
        </w:rPr>
      </w:pPr>
      <w:r>
        <w:rPr>
          <w:rFonts w:hint="eastAsia" w:ascii="华文中宋" w:hAnsi="华文中宋" w:eastAsia="华文中宋"/>
          <w:b/>
          <w:bCs/>
          <w:kern w:val="44"/>
          <w:sz w:val="44"/>
          <w:szCs w:val="44"/>
          <w:lang w:val="en-US" w:eastAsia="zh-CN"/>
        </w:rPr>
        <w:t>新能源汽车技术</w:t>
      </w:r>
      <w:r>
        <w:rPr>
          <w:rFonts w:ascii="华文中宋" w:hAnsi="华文中宋" w:eastAsia="华文中宋"/>
          <w:b/>
          <w:bCs/>
          <w:kern w:val="44"/>
          <w:sz w:val="44"/>
          <w:szCs w:val="44"/>
        </w:rPr>
        <w:t>专业人才培养方案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p>
    <w:p w14:paraId="74B1C7A8">
      <w:pPr>
        <w:jc w:val="center"/>
        <w:rPr>
          <w:rFonts w:hint="eastAsia" w:ascii="华文中宋" w:hAnsi="华文中宋" w:eastAsia="华文中宋"/>
          <w:b/>
          <w:bCs/>
          <w:kern w:val="44"/>
          <w:sz w:val="44"/>
          <w:szCs w:val="44"/>
        </w:rPr>
      </w:pPr>
    </w:p>
    <w:p w14:paraId="746DF14B">
      <w:pPr>
        <w:pStyle w:val="3"/>
        <w:spacing w:line="360" w:lineRule="auto"/>
        <w:ind w:left="-2" w:leftChars="-2" w:hanging="2" w:hangingChars="1"/>
        <w:outlineLvl w:val="0"/>
      </w:pPr>
      <w:bookmarkStart w:id="0" w:name="_Toc2635"/>
      <w:r>
        <w:rPr>
          <w:rFonts w:hint="eastAsia"/>
        </w:rPr>
        <w:t>专业名称与代码</w:t>
      </w:r>
      <w:bookmarkEnd w:id="0"/>
    </w:p>
    <w:p w14:paraId="42B11AC6">
      <w:pPr>
        <w:tabs>
          <w:tab w:val="left" w:pos="4111"/>
        </w:tabs>
        <w:spacing w:line="360" w:lineRule="auto"/>
        <w:ind w:firstLine="482" w:firstLineChars="200"/>
        <w:jc w:val="left"/>
        <w:rPr>
          <w:rFonts w:hint="eastAsia"/>
          <w:sz w:val="24"/>
          <w:szCs w:val="32"/>
        </w:rPr>
      </w:pPr>
      <w:r>
        <w:rPr>
          <w:rFonts w:hint="eastAsia"/>
          <w:b/>
          <w:bCs/>
          <w:sz w:val="24"/>
          <w:szCs w:val="32"/>
        </w:rPr>
        <w:t>专业名称：新能源汽车技术</w:t>
      </w:r>
      <w:r>
        <w:rPr>
          <w:b/>
          <w:bCs/>
          <w:sz w:val="24"/>
          <w:szCs w:val="32"/>
        </w:rPr>
        <w:tab/>
      </w:r>
      <w:r>
        <w:rPr>
          <w:rFonts w:hint="eastAsia"/>
          <w:sz w:val="24"/>
          <w:szCs w:val="32"/>
        </w:rPr>
        <w:t>（460702）</w:t>
      </w:r>
    </w:p>
    <w:p w14:paraId="5A032540">
      <w:pPr>
        <w:tabs>
          <w:tab w:val="left" w:pos="4111"/>
        </w:tabs>
        <w:spacing w:line="360" w:lineRule="auto"/>
        <w:ind w:firstLine="480" w:firstLineChars="200"/>
        <w:jc w:val="left"/>
        <w:rPr>
          <w:rFonts w:hint="eastAsia"/>
          <w:sz w:val="24"/>
          <w:szCs w:val="32"/>
        </w:rPr>
      </w:pPr>
    </w:p>
    <w:p w14:paraId="0959D159">
      <w:pPr>
        <w:pStyle w:val="3"/>
        <w:spacing w:line="360" w:lineRule="auto"/>
        <w:ind w:left="-2" w:leftChars="-2" w:hanging="2" w:hangingChars="1"/>
        <w:outlineLvl w:val="0"/>
      </w:pPr>
      <w:bookmarkStart w:id="1" w:name="_Toc26642"/>
      <w:r>
        <w:rPr>
          <w:rFonts w:hint="eastAsia"/>
        </w:rPr>
        <w:t>培养</w:t>
      </w:r>
      <w:r>
        <w:t>对象与</w:t>
      </w:r>
      <w:r>
        <w:rPr>
          <w:rFonts w:hint="eastAsia"/>
        </w:rPr>
        <w:t>学制</w:t>
      </w:r>
      <w:bookmarkEnd w:id="1"/>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199E5892">
      <w:pPr>
        <w:spacing w:line="360" w:lineRule="auto"/>
        <w:ind w:firstLine="480" w:firstLineChars="200"/>
        <w:jc w:val="left"/>
        <w:rPr>
          <w:sz w:val="24"/>
          <w:szCs w:val="32"/>
        </w:rPr>
      </w:pPr>
    </w:p>
    <w:p w14:paraId="0D23D24F">
      <w:pPr>
        <w:pStyle w:val="3"/>
        <w:spacing w:line="360" w:lineRule="auto"/>
        <w:ind w:left="-2" w:leftChars="-2" w:hanging="2" w:hangingChars="1"/>
        <w:outlineLvl w:val="0"/>
      </w:pPr>
      <w:bookmarkStart w:id="2" w:name="_Toc17959"/>
      <w:r>
        <w:rPr>
          <w:rFonts w:hint="eastAsia"/>
        </w:rPr>
        <w:t>职业面向（参照教育部标准）</w:t>
      </w:r>
      <w:r>
        <w:rPr>
          <w:rFonts w:hint="eastAsia"/>
          <w:vanish/>
          <w:color w:val="FF0000"/>
        </w:rPr>
        <w:t>（参照教育部标准）</w:t>
      </w:r>
      <w:bookmarkEnd w:id="2"/>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4"/>
        <w:gridCol w:w="6097"/>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8925D17">
            <w:pPr>
              <w:snapToGrid w:val="0"/>
              <w:contextualSpacing/>
              <w:rPr>
                <w:sz w:val="24"/>
              </w:rPr>
            </w:pPr>
            <w:r>
              <w:rPr>
                <w:sz w:val="24"/>
              </w:rPr>
              <w:t>所属专业大类（代码）</w:t>
            </w:r>
          </w:p>
        </w:tc>
        <w:tc>
          <w:tcPr>
            <w:tcW w:w="6129" w:type="dxa"/>
            <w:vAlign w:val="center"/>
          </w:tcPr>
          <w:p w14:paraId="420A095B">
            <w:pPr>
              <w:snapToGrid w:val="0"/>
              <w:contextualSpacing/>
              <w:rPr>
                <w:sz w:val="24"/>
              </w:rPr>
            </w:pPr>
            <w:r>
              <w:rPr>
                <w:rFonts w:hint="eastAsia"/>
                <w:sz w:val="24"/>
              </w:rPr>
              <w:t>装备制造大类（46）</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C3DC068">
            <w:pPr>
              <w:snapToGrid w:val="0"/>
              <w:contextualSpacing/>
              <w:rPr>
                <w:sz w:val="24"/>
              </w:rPr>
            </w:pPr>
            <w:r>
              <w:rPr>
                <w:sz w:val="24"/>
              </w:rPr>
              <w:t>所属专业类（代码）</w:t>
            </w:r>
          </w:p>
        </w:tc>
        <w:tc>
          <w:tcPr>
            <w:tcW w:w="6129" w:type="dxa"/>
            <w:vAlign w:val="center"/>
          </w:tcPr>
          <w:p w14:paraId="480B358A">
            <w:pPr>
              <w:snapToGrid w:val="0"/>
              <w:contextualSpacing/>
              <w:rPr>
                <w:sz w:val="24"/>
              </w:rPr>
            </w:pPr>
            <w:r>
              <w:rPr>
                <w:rFonts w:hint="eastAsia"/>
                <w:sz w:val="24"/>
              </w:rPr>
              <w:t>汽车制造类（4607）</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311" w:type="dxa"/>
            <w:vAlign w:val="center"/>
          </w:tcPr>
          <w:p w14:paraId="53210113">
            <w:pPr>
              <w:snapToGrid w:val="0"/>
              <w:contextualSpacing/>
              <w:rPr>
                <w:sz w:val="24"/>
              </w:rPr>
            </w:pPr>
            <w:r>
              <w:rPr>
                <w:sz w:val="24"/>
              </w:rPr>
              <w:t>对应行业（代码）</w:t>
            </w:r>
          </w:p>
        </w:tc>
        <w:tc>
          <w:tcPr>
            <w:tcW w:w="6129" w:type="dxa"/>
            <w:vAlign w:val="center"/>
          </w:tcPr>
          <w:p w14:paraId="343321BA">
            <w:pPr>
              <w:snapToGrid w:val="0"/>
              <w:contextualSpacing/>
              <w:rPr>
                <w:sz w:val="24"/>
              </w:rPr>
            </w:pPr>
            <w:r>
              <w:rPr>
                <w:rFonts w:hint="eastAsia"/>
                <w:sz w:val="24"/>
              </w:rPr>
              <w:t>新能源车整车制造（3612）</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sz w:val="24"/>
              </w:rPr>
            </w:pPr>
            <w:r>
              <w:rPr>
                <w:sz w:val="24"/>
              </w:rPr>
              <w:t>主要职业类别（代码）</w:t>
            </w:r>
          </w:p>
        </w:tc>
        <w:tc>
          <w:tcPr>
            <w:tcW w:w="6129" w:type="dxa"/>
            <w:vAlign w:val="center"/>
          </w:tcPr>
          <w:p w14:paraId="421B1BBF">
            <w:pPr>
              <w:numPr>
                <w:ilvl w:val="0"/>
                <w:numId w:val="4"/>
              </w:numPr>
              <w:snapToGrid w:val="0"/>
              <w:contextualSpacing/>
              <w:rPr>
                <w:rFonts w:hint="eastAsia"/>
                <w:sz w:val="24"/>
              </w:rPr>
            </w:pPr>
            <w:r>
              <w:rPr>
                <w:rFonts w:hint="eastAsia"/>
                <w:sz w:val="24"/>
              </w:rPr>
              <w:t>汽车整车制造人员（6-22-02）</w:t>
            </w:r>
          </w:p>
          <w:p w14:paraId="70A4569A">
            <w:pPr>
              <w:numPr>
                <w:ilvl w:val="0"/>
                <w:numId w:val="4"/>
              </w:numPr>
              <w:snapToGrid w:val="0"/>
              <w:contextualSpacing/>
              <w:rPr>
                <w:rFonts w:hint="eastAsia"/>
                <w:sz w:val="24"/>
              </w:rPr>
            </w:pPr>
            <w:r>
              <w:rPr>
                <w:rFonts w:hint="eastAsia"/>
                <w:sz w:val="24"/>
              </w:rPr>
              <w:t>汽车零部件、饰件生产加工人员（6-22-01）</w:t>
            </w:r>
          </w:p>
          <w:p w14:paraId="678C0DDE">
            <w:pPr>
              <w:numPr>
                <w:ilvl w:val="0"/>
                <w:numId w:val="4"/>
              </w:numPr>
              <w:snapToGrid w:val="0"/>
              <w:contextualSpacing/>
              <w:rPr>
                <w:rFonts w:hint="eastAsia"/>
                <w:sz w:val="24"/>
              </w:rPr>
            </w:pPr>
            <w:r>
              <w:rPr>
                <w:rFonts w:hint="eastAsia"/>
                <w:sz w:val="24"/>
              </w:rPr>
              <w:t>检验试验人员（6-31-03）</w:t>
            </w:r>
          </w:p>
          <w:p w14:paraId="6A20170E">
            <w:pPr>
              <w:numPr>
                <w:ilvl w:val="0"/>
                <w:numId w:val="4"/>
              </w:numPr>
              <w:snapToGrid w:val="0"/>
              <w:contextualSpacing/>
              <w:rPr>
                <w:rFonts w:hint="eastAsia"/>
                <w:sz w:val="24"/>
              </w:rPr>
            </w:pPr>
            <w:r>
              <w:rPr>
                <w:rFonts w:hint="eastAsia"/>
                <w:sz w:val="24"/>
              </w:rPr>
              <w:t>汽车工程技术人员 L（2-02-07-11）</w:t>
            </w:r>
          </w:p>
          <w:p w14:paraId="389E2AFA">
            <w:pPr>
              <w:numPr>
                <w:ilvl w:val="0"/>
                <w:numId w:val="4"/>
              </w:numPr>
              <w:snapToGrid w:val="0"/>
              <w:contextualSpacing/>
              <w:rPr>
                <w:sz w:val="24"/>
              </w:rPr>
            </w:pPr>
            <w:r>
              <w:rPr>
                <w:rFonts w:hint="eastAsia"/>
                <w:sz w:val="24"/>
              </w:rPr>
              <w:t>汽车摩托车修理技术服务人员（4-12-01）</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sz w:val="24"/>
              </w:rPr>
            </w:pPr>
            <w:r>
              <w:rPr>
                <w:sz w:val="24"/>
              </w:rPr>
              <w:t>主要岗位（群）或技术领域</w:t>
            </w:r>
          </w:p>
        </w:tc>
        <w:tc>
          <w:tcPr>
            <w:tcW w:w="6129" w:type="dxa"/>
            <w:vAlign w:val="center"/>
          </w:tcPr>
          <w:p w14:paraId="6ECF7EE0">
            <w:pPr>
              <w:numPr>
                <w:ilvl w:val="0"/>
                <w:numId w:val="5"/>
              </w:numPr>
              <w:snapToGrid w:val="0"/>
              <w:contextualSpacing/>
              <w:rPr>
                <w:rFonts w:hint="eastAsia"/>
                <w:sz w:val="24"/>
                <w:lang w:eastAsia="zh-CN"/>
              </w:rPr>
            </w:pPr>
            <w:r>
              <w:rPr>
                <w:rFonts w:hint="eastAsia"/>
                <w:sz w:val="24"/>
              </w:rPr>
              <w:t>生产制造：新能源汽车整车及关键零部件装调、检测与质量检验</w:t>
            </w:r>
            <w:r>
              <w:rPr>
                <w:rFonts w:hint="eastAsia"/>
                <w:sz w:val="24"/>
                <w:lang w:eastAsia="zh-CN"/>
              </w:rPr>
              <w:t>；</w:t>
            </w:r>
          </w:p>
          <w:p w14:paraId="10F28476">
            <w:pPr>
              <w:numPr>
                <w:ilvl w:val="0"/>
                <w:numId w:val="5"/>
              </w:numPr>
              <w:snapToGrid w:val="0"/>
              <w:contextualSpacing/>
              <w:rPr>
                <w:rFonts w:hint="eastAsia"/>
                <w:sz w:val="24"/>
                <w:lang w:eastAsia="zh-CN"/>
              </w:rPr>
            </w:pPr>
            <w:r>
              <w:rPr>
                <w:rFonts w:hint="eastAsia"/>
                <w:sz w:val="24"/>
              </w:rPr>
              <w:t>研发辅助：新能源汽车整车及关键零部件试制试验、工艺设计及改进</w:t>
            </w:r>
            <w:r>
              <w:rPr>
                <w:rFonts w:hint="eastAsia"/>
                <w:sz w:val="24"/>
                <w:lang w:eastAsia="zh-CN"/>
              </w:rPr>
              <w:t>；</w:t>
            </w:r>
          </w:p>
          <w:p w14:paraId="1D071E29">
            <w:pPr>
              <w:numPr>
                <w:ilvl w:val="0"/>
                <w:numId w:val="5"/>
              </w:numPr>
              <w:snapToGrid w:val="0"/>
              <w:contextualSpacing/>
              <w:rPr>
                <w:sz w:val="24"/>
              </w:rPr>
            </w:pPr>
            <w:r>
              <w:rPr>
                <w:rFonts w:hint="eastAsia"/>
                <w:sz w:val="24"/>
              </w:rPr>
              <w:t>营运服务：新能源汽车维修与服务</w:t>
            </w:r>
          </w:p>
          <w:p w14:paraId="3AC416DF">
            <w:pPr>
              <w:numPr>
                <w:ilvl w:val="0"/>
                <w:numId w:val="0"/>
              </w:numPr>
              <w:snapToGrid w:val="0"/>
              <w:contextualSpacing/>
              <w:rPr>
                <w:sz w:val="24"/>
              </w:rPr>
            </w:pPr>
            <w:r>
              <w:rPr>
                <w:rFonts w:hint="eastAsia"/>
                <w:sz w:val="24"/>
              </w:rPr>
              <w:t>……</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sz w:val="24"/>
              </w:rPr>
            </w:pPr>
            <w:r>
              <w:rPr>
                <w:sz w:val="24"/>
              </w:rPr>
              <w:t>职业类证书</w:t>
            </w:r>
          </w:p>
        </w:tc>
        <w:tc>
          <w:tcPr>
            <w:tcW w:w="6129" w:type="dxa"/>
            <w:vAlign w:val="center"/>
          </w:tcPr>
          <w:p w14:paraId="4FDB7E53">
            <w:pPr>
              <w:numPr>
                <w:ilvl w:val="0"/>
                <w:numId w:val="6"/>
              </w:numPr>
              <w:snapToGrid w:val="0"/>
              <w:contextualSpacing/>
              <w:rPr>
                <w:rFonts w:hint="eastAsia"/>
                <w:sz w:val="24"/>
              </w:rPr>
            </w:pPr>
            <w:r>
              <w:rPr>
                <w:rFonts w:hint="eastAsia"/>
                <w:sz w:val="24"/>
              </w:rPr>
              <w:t>特种作业人员</w:t>
            </w:r>
          </w:p>
          <w:p w14:paraId="699BA848">
            <w:pPr>
              <w:numPr>
                <w:ilvl w:val="0"/>
                <w:numId w:val="6"/>
              </w:numPr>
              <w:snapToGrid w:val="0"/>
              <w:contextualSpacing/>
              <w:rPr>
                <w:rFonts w:hint="eastAsia"/>
                <w:sz w:val="24"/>
              </w:rPr>
            </w:pPr>
            <w:r>
              <w:rPr>
                <w:rFonts w:hint="eastAsia"/>
                <w:sz w:val="24"/>
              </w:rPr>
              <w:t>新能源汽车装调与测试</w:t>
            </w:r>
          </w:p>
          <w:p w14:paraId="04B4C41D">
            <w:pPr>
              <w:numPr>
                <w:ilvl w:val="0"/>
                <w:numId w:val="6"/>
              </w:numPr>
              <w:snapToGrid w:val="0"/>
              <w:contextualSpacing/>
              <w:rPr>
                <w:sz w:val="24"/>
              </w:rPr>
            </w:pPr>
            <w:r>
              <w:rPr>
                <w:rFonts w:hint="eastAsia"/>
                <w:sz w:val="24"/>
              </w:rPr>
              <w:t>电动汽车高电压系统评测与维修</w:t>
            </w:r>
          </w:p>
          <w:p w14:paraId="73B2D1C3">
            <w:pPr>
              <w:numPr>
                <w:ilvl w:val="0"/>
                <w:numId w:val="6"/>
              </w:numPr>
              <w:snapToGrid w:val="0"/>
              <w:contextualSpacing/>
              <w:rPr>
                <w:sz w:val="24"/>
              </w:rPr>
            </w:pPr>
            <w:r>
              <w:rPr>
                <w:rFonts w:hint="eastAsia"/>
                <w:sz w:val="24"/>
              </w:rPr>
              <w:t>智能新能源汽车</w:t>
            </w:r>
          </w:p>
          <w:p w14:paraId="65D752C2">
            <w:pPr>
              <w:numPr>
                <w:ilvl w:val="0"/>
                <w:numId w:val="0"/>
              </w:numPr>
              <w:snapToGrid w:val="0"/>
              <w:contextualSpacing/>
              <w:rPr>
                <w:sz w:val="24"/>
              </w:rPr>
            </w:pPr>
            <w:r>
              <w:rPr>
                <w:rFonts w:hint="eastAsia"/>
                <w:sz w:val="24"/>
              </w:rPr>
              <w:t>……</w:t>
            </w:r>
          </w:p>
        </w:tc>
      </w:tr>
    </w:tbl>
    <w:p w14:paraId="3021AD03">
      <w:pPr>
        <w:spacing w:line="360" w:lineRule="auto"/>
        <w:ind w:firstLine="420" w:firstLineChars="200"/>
        <w:jc w:val="left"/>
      </w:pPr>
    </w:p>
    <w:p w14:paraId="460557D2">
      <w:pPr>
        <w:spacing w:line="360" w:lineRule="auto"/>
        <w:ind w:firstLine="420" w:firstLineChars="200"/>
        <w:jc w:val="left"/>
      </w:pPr>
    </w:p>
    <w:p w14:paraId="03687826">
      <w:pPr>
        <w:pStyle w:val="3"/>
        <w:spacing w:line="360" w:lineRule="auto"/>
        <w:ind w:left="-2" w:leftChars="-2" w:hanging="2" w:hangingChars="1"/>
        <w:outlineLvl w:val="0"/>
      </w:pPr>
      <w:bookmarkStart w:id="3" w:name="_Toc7968"/>
      <w:r>
        <w:t>培养目标</w:t>
      </w:r>
      <w:r>
        <w:rPr>
          <w:rFonts w:hint="eastAsia"/>
        </w:rPr>
        <w:t>（参照教育部标准）</w:t>
      </w:r>
      <w:r>
        <w:rPr>
          <w:rFonts w:hint="eastAsia"/>
          <w:vanish/>
          <w:color w:val="FF0000"/>
        </w:rPr>
        <w:t>（参照教育部标准）</w:t>
      </w:r>
      <w:bookmarkEnd w:id="3"/>
    </w:p>
    <w:p w14:paraId="3E3C3D98">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新能源车整车制造行业的汽车整车制造人员、汽车工程技术人员、汽车摩托车修理技术服务人员等职业，能够从事新能源汽车整车及零部件装调、质量检验、生产现场管理、试制试验和新能源汽车维修与服务等工作的高技能人才。</w:t>
      </w:r>
    </w:p>
    <w:p w14:paraId="62A26441">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p>
    <w:p w14:paraId="3247DAB2">
      <w:pPr>
        <w:pStyle w:val="3"/>
        <w:spacing w:line="360" w:lineRule="auto"/>
        <w:ind w:left="-2" w:leftChars="-2" w:hanging="2" w:hangingChars="1"/>
        <w:outlineLvl w:val="0"/>
      </w:pPr>
      <w:bookmarkStart w:id="4" w:name="_Toc28217"/>
      <w:r>
        <w:t>培养</w:t>
      </w:r>
      <w:r>
        <w:rPr>
          <w:rFonts w:hint="eastAsia"/>
        </w:rPr>
        <w:t>规格（参照教育部标准）</w:t>
      </w:r>
      <w:r>
        <w:rPr>
          <w:rFonts w:hint="eastAsia"/>
          <w:vanish/>
          <w:color w:val="FF0000"/>
        </w:rPr>
        <w:t>（参照教育部标准）</w:t>
      </w:r>
      <w:bookmarkEnd w:id="4"/>
    </w:p>
    <w:p w14:paraId="29704E29">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本专业学生应在系统学习本专业知识并完成有关实习实训基础上，全面提升知识、能力、素质，掌握并实际运用岗位（群）需要的专业核心技术技能，实现德智体美劳全面发展，总体上须达到以下要求：</w:t>
      </w:r>
    </w:p>
    <w:p w14:paraId="7F78F7D3">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（1）坚定拥护中国共产党领导和中国特色社会主义制度，以习近平新时代中国特色社会主义思想为指导，践行社会主义核心价值观，具有坚定的理想信念、深厚的爱国情感和中华民族自豪感；</w:t>
      </w:r>
    </w:p>
    <w:p w14:paraId="7954B78C">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5BF421F7">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（3）掌握支撑本专业学习和可持续发展必备的语文、数学、外语（英语等）、信息技术等文化基础知识，具有良好的人文素养与科学素养，具备职业生涯规划能力；</w:t>
      </w:r>
    </w:p>
    <w:p w14:paraId="362B08F5">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（4）具有良好的语言表达能力、文字表达能力、沟通合作能力，具有较强的集体意识和团队合作意识，学习 1 门外语并结合本专业加以运用；</w:t>
      </w:r>
    </w:p>
    <w:p w14:paraId="670C4D46">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（5）掌握汽车机械基础、机械制图与 CAD、新能源汽车构造、新能源汽车电力电子技术等方面的基础知识；</w:t>
      </w:r>
    </w:p>
    <w:p w14:paraId="45366F66">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（6）掌握新能源汽车动力蓄电池、驱动电机及电控系统的结构和工作原理，辅助系统的结构和工作原理，整车电源管理和网络架构、故障诊断策略等方面的基础知识；</w:t>
      </w:r>
    </w:p>
    <w:p w14:paraId="223976F3">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（7）掌握新能源汽车制造和维修工艺、电子控制系统的装调和检测工艺等方面的基础知识；</w:t>
      </w:r>
    </w:p>
    <w:p w14:paraId="3423AAE7">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（8）掌握新能源汽车电气系统、底盘系统、动力蓄电池及管理系统、驱动电机及控制系统、整车控制系统等装配、调试技术技能，具有新能源汽车整车及关键零部件装调能力；</w:t>
      </w:r>
    </w:p>
    <w:p w14:paraId="333E9EE8">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（9）掌握新能源汽车整车及动力蓄电池系统、驱动电机系统等质量检验和性能检测技术技能，具有新能源汽车整车及关键零部件质量检验和性能检测能力；</w:t>
      </w:r>
    </w:p>
    <w:p w14:paraId="770696CD">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（10）掌握冲压、焊接、涂装、总装工艺编制、生产管理等技术技能，具有一定的新能源汽车整车及关键零部件工艺编制、生产现场管理能力；</w:t>
      </w:r>
    </w:p>
    <w:p w14:paraId="426134A9">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（11）掌握新能源汽车试验台架搭建、试验数据采集处理及分析等技术技能，具有一定的新能源汽车整车及关键零部件样品试制试验能力；</w:t>
      </w:r>
    </w:p>
    <w:p w14:paraId="170E3F9F">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（12）掌握新能源汽车电路分析、故障诊断等技术技能，具有新能源汽车检测与维修能力；</w:t>
      </w:r>
    </w:p>
    <w:p w14:paraId="5E056228">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（13）掌握新能源汽车整车性能测试、鉴定评估等技术技能，具有一定的二手车交易评估能力；</w:t>
      </w:r>
    </w:p>
    <w:p w14:paraId="1CFF43FF">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（14）掌握新能源汽车充电设备装调、检测、维护与检修等技术技能，具有新能源汽车充电设备装调、维修能力；</w:t>
      </w:r>
    </w:p>
    <w:p w14:paraId="7F7F78C2">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（15）掌握信息技术基础知识，具有适应本行业数字化和智能化发展需求的数字技能；</w:t>
      </w:r>
    </w:p>
    <w:p w14:paraId="19309714">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（16）具有探究学习、终身学习和可持续发展的能力，具有整合知识和综合运用知识分析问题和解决问题的能力；</w:t>
      </w:r>
    </w:p>
    <w:p w14:paraId="108F20B1">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（17）掌握身体运动的基本知识和至少 1 项体育运动技能，达到国家大学生体质健康测试合格标准，养成良好的运动习惯、卫生习惯和行为习惯；具备一定的心理调适能力；</w:t>
      </w:r>
    </w:p>
    <w:p w14:paraId="565AFE5E">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（18）掌握必备的美育知识，具有一定的文化修养、审美能力，形成至少 1 项艺术特长或爱好；</w:t>
      </w:r>
    </w:p>
    <w:p w14:paraId="735EE996">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（19）树立正确的劳动观，尊重劳动，热爱劳动，具备与本专业职业发展相适应的劳动素养，弘扬劳模精神、劳动精神、工匠精神，弘扬劳动光荣、技能宝贵、创造伟大的时代风尚。</w:t>
      </w:r>
    </w:p>
    <w:p w14:paraId="2878ECC3">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p>
    <w:p w14:paraId="6CC9BE33">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p>
    <w:p w14:paraId="5EC30400">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p>
    <w:p w14:paraId="175775A0">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p>
    <w:p w14:paraId="289B871F">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p>
    <w:p w14:paraId="5F2703FA">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p>
    <w:p w14:paraId="4C259B4A">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p>
    <w:p w14:paraId="46981CAB">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p>
    <w:p w14:paraId="23AC07B5">
      <w:pPr>
        <w:pStyle w:val="3"/>
        <w:spacing w:line="360" w:lineRule="auto"/>
        <w:ind w:left="-2" w:leftChars="-2" w:hanging="2" w:hangingChars="1"/>
        <w:outlineLvl w:val="0"/>
      </w:pPr>
      <w:bookmarkStart w:id="5" w:name="_Toc6098"/>
      <w:r>
        <w:t>课程设置及学时安排</w:t>
      </w:r>
      <w:r>
        <w:rPr>
          <w:rFonts w:hint="eastAsia"/>
        </w:rPr>
        <w:t>（参照教育部标准）</w:t>
      </w:r>
      <w:r>
        <w:rPr>
          <w:rFonts w:hint="eastAsia"/>
          <w:vanish/>
          <w:color w:val="FF0000"/>
        </w:rPr>
        <w:t>（参照教育部标准）</w:t>
      </w:r>
      <w:bookmarkEnd w:id="5"/>
    </w:p>
    <w:p w14:paraId="19B0638D">
      <w:pPr>
        <w:pStyle w:val="4"/>
        <w:keepNext/>
        <w:keepLines/>
        <w:pageBreakBefore w:val="0"/>
        <w:widowControl w:val="0"/>
        <w:numPr>
          <w:ilvl w:val="0"/>
          <w:numId w:val="7"/>
        </w:numPr>
        <w:kinsoku/>
        <w:wordWrap/>
        <w:overflowPunct/>
        <w:topLinePunct w:val="0"/>
        <w:autoSpaceDE/>
        <w:autoSpaceDN/>
        <w:bidi w:val="0"/>
        <w:adjustRightInd/>
        <w:snapToGrid/>
        <w:spacing w:line="360" w:lineRule="auto"/>
        <w:ind w:left="0" w:leftChars="0" w:firstLine="480" w:firstLineChars="200"/>
        <w:textAlignment w:val="auto"/>
        <w:outlineLvl w:val="1"/>
        <w:rPr>
          <w:rFonts w:hint="eastAsia"/>
          <w:b w:val="0"/>
          <w:bCs w:val="0"/>
        </w:rPr>
      </w:pPr>
      <w:bookmarkStart w:id="6" w:name="_Toc10126"/>
      <w:r>
        <w:rPr>
          <w:b w:val="0"/>
          <w:bCs w:val="0"/>
        </w:rPr>
        <w:t>公共基础课程</w:t>
      </w:r>
      <w:bookmarkEnd w:id="6"/>
    </w:p>
    <w:p w14:paraId="4D1ACA12">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按照国家有关规定开齐开足公共基础课程。应将思想政治理论、体育、军事理论与军训、心理健康教育、劳动教育等列为公共基础必修课程。将马克思主义理论类课程、党史国史、中华优秀传统文化、语文、应用数学、应用物理、应用化学、外语、国家安全教育、信息技术、艺术、职业发展与就业指导、创新创业教育等列为必修课程或限定选修课程。学校根据实际情况可开设具有地方特色的校本课程。</w:t>
      </w:r>
    </w:p>
    <w:p w14:paraId="1EE7E5ED">
      <w:pPr>
        <w:pStyle w:val="4"/>
        <w:keepNext/>
        <w:keepLines/>
        <w:pageBreakBefore w:val="0"/>
        <w:widowControl w:val="0"/>
        <w:numPr>
          <w:ilvl w:val="0"/>
          <w:numId w:val="7"/>
        </w:numPr>
        <w:kinsoku/>
        <w:wordWrap/>
        <w:overflowPunct/>
        <w:topLinePunct w:val="0"/>
        <w:autoSpaceDE/>
        <w:autoSpaceDN/>
        <w:bidi w:val="0"/>
        <w:adjustRightInd/>
        <w:snapToGrid/>
        <w:spacing w:line="360" w:lineRule="auto"/>
        <w:ind w:left="0" w:leftChars="0" w:firstLine="480" w:firstLineChars="200"/>
        <w:textAlignment w:val="auto"/>
        <w:outlineLvl w:val="1"/>
        <w:rPr>
          <w:rFonts w:hint="eastAsia"/>
          <w:b w:val="0"/>
          <w:bCs w:val="0"/>
        </w:rPr>
      </w:pPr>
      <w:bookmarkStart w:id="7" w:name="_Toc7985"/>
      <w:r>
        <w:rPr>
          <w:b w:val="0"/>
          <w:bCs w:val="0"/>
        </w:rPr>
        <w:t>专业课程</w:t>
      </w:r>
      <w:bookmarkEnd w:id="7"/>
    </w:p>
    <w:p w14:paraId="0BA8D926">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一般包括专业基础课程、专业核心课程和专业拓展课程。专业基础课程是需要前置学习的基础性理论知识和技能构成的课程，是为专业核心课程提供理论和技能支撑的基础课程；专业核心课程是根据岗位工作内容、典型工作任务设置的课程，是培养核心职业能力的主干课程；专业拓展课程是根据学生发展需求横向拓展和纵向深化的课程，是提升综合职业能力的延展课程。</w:t>
      </w:r>
    </w:p>
    <w:p w14:paraId="426A57BE">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学校应结合区域/行业实际、办学定位和人才培养需要自主确定课程，进行模块化课程设计，依托体现新方法、新技术、新工艺、新标准的真实生产项目和典型工作任务等，开展项目式、情境式教学，结合人工智能等技术实施课程教学的数字化转型。有条件的专业，可结合教学实际，探索创新课程体系。</w:t>
      </w:r>
    </w:p>
    <w:p w14:paraId="416C766F">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outlineLvl w:val="2"/>
        <w:rPr>
          <w:sz w:val="24"/>
        </w:rPr>
      </w:pPr>
      <w:bookmarkStart w:id="8" w:name="_Toc7796"/>
      <w:r>
        <w:rPr>
          <w:sz w:val="24"/>
        </w:rPr>
        <w:t>（1）专业基础课程</w:t>
      </w:r>
      <w:bookmarkEnd w:id="8"/>
    </w:p>
    <w:p w14:paraId="09F7B32F">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sz w:val="24"/>
        </w:rPr>
      </w:pPr>
      <w:r>
        <w:rPr>
          <w:rFonts w:hint="eastAsia"/>
          <w:sz w:val="24"/>
        </w:rPr>
        <w:t>主要包括：汽车文化、汽车智能制造概论、汽车机械基础、汽车机械制图、新能源汽车构造、新能源汽车电力电子技术、C 语言程序设计基础、新能源汽车专业英语等领域的内容。</w:t>
      </w:r>
    </w:p>
    <w:p w14:paraId="79086925">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outlineLvl w:val="2"/>
        <w:rPr>
          <w:sz w:val="24"/>
        </w:rPr>
      </w:pPr>
      <w:bookmarkStart w:id="9" w:name="_Toc7705"/>
      <w:r>
        <w:rPr>
          <w:sz w:val="24"/>
        </w:rPr>
        <w:t>（2）专业核心课程</w:t>
      </w:r>
      <w:bookmarkEnd w:id="9"/>
    </w:p>
    <w:p w14:paraId="1CB1E017">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r>
        <w:rPr>
          <w:rFonts w:hint="eastAsia"/>
          <w:sz w:val="24"/>
        </w:rPr>
        <w:t>主要包括：新能源汽车底盘技术、新能源汽车电气技术、新能源汽车动力蓄电池及管理技术、新能源汽车驱动电机及控制技术、新能源汽车整车控制技术、汽车制造工艺技术、新能源汽车试验技术、新能源汽车故障诊断技术等领域的内容，具体课程由学校根据实际情况，按国家有关要求自主设置。</w:t>
      </w:r>
    </w:p>
    <w:p w14:paraId="470AE16C">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p>
    <w:p w14:paraId="548DE244">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p>
    <w:p w14:paraId="7C0BF274">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p>
    <w:p w14:paraId="1CF972C0">
      <w:pPr>
        <w:pageBreakBefore w:val="0"/>
        <w:widowControl w:val="0"/>
        <w:kinsoku/>
        <w:wordWrap/>
        <w:overflowPunct/>
        <w:topLinePunct w:val="0"/>
        <w:autoSpaceDE/>
        <w:autoSpaceDN/>
        <w:bidi w:val="0"/>
        <w:adjustRightInd/>
        <w:snapToGrid w:val="0"/>
        <w:spacing w:line="360" w:lineRule="auto"/>
        <w:ind w:firstLine="480" w:firstLineChars="200"/>
        <w:contextualSpacing/>
        <w:textAlignment w:val="auto"/>
        <w:rPr>
          <w:rFonts w:hint="eastAsia"/>
          <w:sz w:val="24"/>
        </w:rPr>
      </w:pPr>
    </w:p>
    <w:p w14:paraId="4AEEC4DA">
      <w:pPr>
        <w:snapToGrid w:val="0"/>
        <w:ind w:firstLine="420" w:firstLineChars="200"/>
        <w:contextualSpacing/>
      </w:pPr>
    </w:p>
    <w:p w14:paraId="136D6C5C">
      <w:pPr>
        <w:snapToGrid w:val="0"/>
        <w:ind w:firstLine="422" w:firstLineChars="200"/>
        <w:contextualSpacing/>
        <w:jc w:val="center"/>
        <w:rPr>
          <w:b/>
          <w:bCs/>
        </w:rPr>
      </w:pPr>
      <w:r>
        <w:rPr>
          <w:rFonts w:hint="eastAsia"/>
          <w:b/>
          <w:bCs/>
        </w:rPr>
        <w:t>专业核心课程主要教学内容与要求</w:t>
      </w:r>
    </w:p>
    <w:tbl>
      <w:tblPr>
        <w:tblStyle w:val="132"/>
        <w:tblW w:w="5000" w:type="pct"/>
        <w:jc w:val="center"/>
        <w:tblLayout w:type="autofit"/>
        <w:tblCellMar>
          <w:top w:w="0" w:type="dxa"/>
          <w:left w:w="0" w:type="dxa"/>
          <w:bottom w:w="0" w:type="dxa"/>
          <w:right w:w="0" w:type="dxa"/>
        </w:tblCellMar>
      </w:tblPr>
      <w:tblGrid>
        <w:gridCol w:w="564"/>
        <w:gridCol w:w="3269"/>
        <w:gridCol w:w="3693"/>
        <w:gridCol w:w="1934"/>
      </w:tblGrid>
      <w:tr w14:paraId="6F36FCFE">
        <w:trPr>
          <w:trHeight w:val="408" w:hRule="exact"/>
          <w:tblHeader/>
          <w:jc w:val="center"/>
        </w:trPr>
        <w:tc>
          <w:tcPr>
            <w:tcW w:w="298"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lang w:eastAsia="zh-CN"/>
              </w:rPr>
            </w:pPr>
            <w:r>
              <w:rPr>
                <w:rFonts w:hint="eastAsia" w:eastAsia="宋体"/>
                <w:lang w:eastAsia="zh-CN"/>
              </w:rPr>
              <w:t>序号</w:t>
            </w:r>
          </w:p>
        </w:tc>
        <w:tc>
          <w:tcPr>
            <w:tcW w:w="1728"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lang w:eastAsia="zh-CN"/>
              </w:rPr>
            </w:pPr>
            <w:r>
              <w:rPr>
                <w:rFonts w:hint="eastAsia" w:eastAsia="宋体"/>
                <w:lang w:eastAsia="zh-CN"/>
              </w:rPr>
              <w:t>课程涉及的主要领域</w:t>
            </w:r>
          </w:p>
        </w:tc>
        <w:tc>
          <w:tcPr>
            <w:tcW w:w="1952"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lang w:eastAsia="zh-CN"/>
              </w:rPr>
            </w:pPr>
            <w:r>
              <w:rPr>
                <w:rFonts w:hint="eastAsia" w:eastAsia="宋体"/>
                <w:lang w:eastAsia="zh-CN"/>
              </w:rPr>
              <w:t>典型工作任务描述</w:t>
            </w:r>
          </w:p>
        </w:tc>
        <w:tc>
          <w:tcPr>
            <w:tcW w:w="1022"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lang w:eastAsia="zh-CN"/>
              </w:rPr>
            </w:pPr>
            <w:r>
              <w:rPr>
                <w:rFonts w:hint="eastAsia" w:eastAsia="宋体"/>
                <w:lang w:eastAsia="zh-CN"/>
              </w:rPr>
              <w:t>主要教学内容与要求</w:t>
            </w:r>
          </w:p>
        </w:tc>
      </w:tr>
      <w:tr w14:paraId="783FE12E">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B948E9E">
            <w:pPr>
              <w:pStyle w:val="133"/>
              <w:numPr>
                <w:ilvl w:val="0"/>
                <w:numId w:val="8"/>
              </w:numPr>
              <w:spacing w:line="272" w:lineRule="exact"/>
              <w:ind w:right="99"/>
              <w:jc w:val="center"/>
              <w:rPr>
                <w:rFonts w:hint="eastAsia" w:ascii="宋体" w:hAnsi="宋体" w:eastAsia="宋体" w:cs="宋体"/>
                <w:sz w:val="21"/>
                <w:szCs w:val="21"/>
                <w:lang w:eastAsia="zh-CN"/>
              </w:rPr>
            </w:pPr>
          </w:p>
        </w:tc>
        <w:tc>
          <w:tcPr>
            <w:tcW w:w="1728" w:type="pct"/>
            <w:tcBorders>
              <w:top w:val="single" w:color="000000" w:sz="4" w:space="0"/>
              <w:left w:val="single" w:color="auto" w:sz="4" w:space="0"/>
              <w:bottom w:val="single" w:color="000000" w:sz="4" w:space="0"/>
              <w:right w:val="single" w:color="000000" w:sz="4" w:space="0"/>
            </w:tcBorders>
          </w:tcPr>
          <w:p w14:paraId="7E5FDE08">
            <w:pPr>
              <w:pStyle w:val="133"/>
              <w:spacing w:line="285"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新能源汽车</w:t>
            </w:r>
          </w:p>
          <w:p w14:paraId="7D2FFE10">
            <w:pPr>
              <w:pStyle w:val="133"/>
              <w:spacing w:line="285"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底盘技术</w:t>
            </w:r>
          </w:p>
        </w:tc>
        <w:tc>
          <w:tcPr>
            <w:tcW w:w="1952" w:type="pct"/>
            <w:tcBorders>
              <w:top w:val="single" w:color="000000" w:sz="4" w:space="0"/>
              <w:left w:val="single" w:color="000000" w:sz="4" w:space="0"/>
              <w:bottom w:val="single" w:color="000000" w:sz="4" w:space="0"/>
              <w:right w:val="single" w:color="000000" w:sz="4" w:space="0"/>
            </w:tcBorders>
          </w:tcPr>
          <w:p w14:paraId="48808655">
            <w:pPr>
              <w:pStyle w:val="133"/>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① 依据安全操作规范要求，按照工</w:t>
            </w:r>
          </w:p>
          <w:p w14:paraId="4DFE356A">
            <w:pPr>
              <w:pStyle w:val="133"/>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艺文件对底盘系统进行装配与调试。</w:t>
            </w:r>
          </w:p>
          <w:p w14:paraId="0B56C833">
            <w:pPr>
              <w:pStyle w:val="133"/>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② 使用维修手册或电路图（装配</w:t>
            </w:r>
          </w:p>
          <w:p w14:paraId="71C08ECA">
            <w:pPr>
              <w:pStyle w:val="133"/>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图），利用检测设备对底盘电控系统</w:t>
            </w:r>
          </w:p>
          <w:p w14:paraId="3532B4A2">
            <w:pPr>
              <w:pStyle w:val="133"/>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进行性能测试和故障诊断</w:t>
            </w:r>
          </w:p>
        </w:tc>
        <w:tc>
          <w:tcPr>
            <w:tcW w:w="1022" w:type="pct"/>
            <w:tcBorders>
              <w:top w:val="single" w:color="000000" w:sz="4" w:space="0"/>
              <w:left w:val="single" w:color="000000" w:sz="4" w:space="0"/>
              <w:bottom w:val="single" w:color="000000" w:sz="4" w:space="0"/>
              <w:right w:val="single" w:color="000000" w:sz="4" w:space="0"/>
            </w:tcBorders>
          </w:tcPr>
          <w:p w14:paraId="1DDF4F28">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① 掌握底盘系统的结构、位置与控制</w:t>
            </w:r>
          </w:p>
          <w:p w14:paraId="36E4BE49">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策略。</w:t>
            </w:r>
          </w:p>
          <w:p w14:paraId="4DB7BBE1">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② 能够装配与调试底盘系统。</w:t>
            </w:r>
          </w:p>
          <w:p w14:paraId="29F79840">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③ 能够利用检测设备对底盘电控系统</w:t>
            </w:r>
          </w:p>
          <w:p w14:paraId="64A011CD">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（减速器/变速器、TCU、EGSM、TPMS、</w:t>
            </w:r>
          </w:p>
          <w:p w14:paraId="285803F6">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EPS、ABS、ESC、EPB、电控悬架、能</w:t>
            </w:r>
          </w:p>
          <w:p w14:paraId="75487866">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量回收等）进行性能测试和故障诊断</w:t>
            </w:r>
          </w:p>
        </w:tc>
      </w:tr>
      <w:tr w14:paraId="3EEFB32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45AE92ED">
            <w:pPr>
              <w:pStyle w:val="33"/>
              <w:numPr>
                <w:ilvl w:val="0"/>
                <w:numId w:val="8"/>
              </w:numPr>
              <w:ind w:firstLineChars="0"/>
              <w:jc w:val="center"/>
              <w:rPr>
                <w:rFonts w:eastAsiaTheme="minorEastAsia"/>
                <w:lang w:eastAsia="zh-CN"/>
              </w:rPr>
            </w:pPr>
          </w:p>
        </w:tc>
        <w:tc>
          <w:tcPr>
            <w:tcW w:w="1728" w:type="pct"/>
            <w:tcBorders>
              <w:top w:val="single" w:color="000000" w:sz="4" w:space="0"/>
              <w:left w:val="single" w:color="auto" w:sz="4" w:space="0"/>
              <w:bottom w:val="single" w:color="000000" w:sz="4" w:space="0"/>
              <w:right w:val="single" w:color="000000" w:sz="4" w:space="0"/>
            </w:tcBorders>
          </w:tcPr>
          <w:p w14:paraId="6563FFC0">
            <w:pPr>
              <w:pStyle w:val="133"/>
              <w:spacing w:line="286"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新能源汽车</w:t>
            </w:r>
          </w:p>
          <w:p w14:paraId="5547799E">
            <w:pPr>
              <w:pStyle w:val="133"/>
              <w:spacing w:line="286"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电气技术</w:t>
            </w:r>
          </w:p>
        </w:tc>
        <w:tc>
          <w:tcPr>
            <w:tcW w:w="1952" w:type="pct"/>
            <w:tcBorders>
              <w:top w:val="single" w:color="000000" w:sz="4" w:space="0"/>
              <w:left w:val="single" w:color="000000" w:sz="4" w:space="0"/>
              <w:bottom w:val="single" w:color="000000" w:sz="4" w:space="0"/>
              <w:right w:val="single" w:color="000000" w:sz="4" w:space="0"/>
            </w:tcBorders>
          </w:tcPr>
          <w:p w14:paraId="71CFB19F">
            <w:pPr>
              <w:pStyle w:val="133"/>
              <w:spacing w:before="130" w:line="272" w:lineRule="exact"/>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① 依据安全操作规范要求，按照</w:t>
            </w:r>
          </w:p>
          <w:p w14:paraId="0DEEF6DD">
            <w:pPr>
              <w:pStyle w:val="133"/>
              <w:spacing w:before="130" w:line="272" w:lineRule="exact"/>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工艺文件，利用常用工具，对照明信</w:t>
            </w:r>
          </w:p>
          <w:p w14:paraId="40924446">
            <w:pPr>
              <w:pStyle w:val="133"/>
              <w:spacing w:before="130" w:line="272" w:lineRule="exact"/>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号、车窗刮水器、仪表防盗、舒适登</w:t>
            </w:r>
          </w:p>
          <w:p w14:paraId="6D4A27E4">
            <w:pPr>
              <w:pStyle w:val="133"/>
              <w:spacing w:before="130" w:line="272" w:lineRule="exact"/>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车与起动、暖风空调、热管理系统等</w:t>
            </w:r>
          </w:p>
          <w:p w14:paraId="272CFCE4">
            <w:pPr>
              <w:pStyle w:val="133"/>
              <w:spacing w:before="130" w:line="272" w:lineRule="exact"/>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装配与调试。</w:t>
            </w:r>
          </w:p>
          <w:p w14:paraId="5D469850">
            <w:pPr>
              <w:pStyle w:val="133"/>
              <w:spacing w:before="130" w:line="272" w:lineRule="exact"/>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② 使用维修手册或电路图（装配</w:t>
            </w:r>
          </w:p>
          <w:p w14:paraId="38311B84">
            <w:pPr>
              <w:pStyle w:val="133"/>
              <w:spacing w:before="130" w:line="272" w:lineRule="exact"/>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图），利用检测设备对电气系统进行</w:t>
            </w:r>
          </w:p>
          <w:p w14:paraId="32119557">
            <w:pPr>
              <w:pStyle w:val="133"/>
              <w:spacing w:before="130" w:line="272" w:lineRule="exact"/>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性能测试和故障诊断</w:t>
            </w:r>
          </w:p>
        </w:tc>
        <w:tc>
          <w:tcPr>
            <w:tcW w:w="1022" w:type="pct"/>
            <w:tcBorders>
              <w:top w:val="single" w:color="000000" w:sz="4" w:space="0"/>
              <w:left w:val="single" w:color="000000" w:sz="4" w:space="0"/>
              <w:bottom w:val="single" w:color="000000" w:sz="4" w:space="0"/>
              <w:right w:val="single" w:color="000000" w:sz="4" w:space="0"/>
            </w:tcBorders>
          </w:tcPr>
          <w:p w14:paraId="1AC3F8B3">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① 掌握照明信号、车窗刮水器、仪表</w:t>
            </w:r>
          </w:p>
          <w:p w14:paraId="5E71F029">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防盗、舒适登车与起动、暖风空调、热管</w:t>
            </w:r>
          </w:p>
          <w:p w14:paraId="2F1A5826">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理系统等的结构、位置与控制策略。</w:t>
            </w:r>
          </w:p>
          <w:p w14:paraId="332A057C">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② 能够装配与调试照明信号、车窗刮</w:t>
            </w:r>
          </w:p>
          <w:p w14:paraId="4D5197B2">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水器、仪表防盗、舒适登车与启动、暖风</w:t>
            </w:r>
          </w:p>
          <w:p w14:paraId="25D61A67">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空调、热管理系统等。</w:t>
            </w:r>
          </w:p>
          <w:p w14:paraId="1EAD7496">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③ 能够利用检测设备对照明信号、车</w:t>
            </w:r>
          </w:p>
          <w:p w14:paraId="57EB9DE3">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窗刮水器、仪表防盗、舒适登车与起动、</w:t>
            </w:r>
          </w:p>
          <w:p w14:paraId="2E13F587">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暖风空调、热管理系统等进行性能测试和</w:t>
            </w:r>
          </w:p>
          <w:p w14:paraId="679AF681">
            <w:pPr>
              <w:pStyle w:val="133"/>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故障诊断</w:t>
            </w:r>
          </w:p>
        </w:tc>
      </w:tr>
      <w:tr w14:paraId="77B97AA5">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B844B9">
            <w:pPr>
              <w:pStyle w:val="33"/>
              <w:numPr>
                <w:ilvl w:val="0"/>
                <w:numId w:val="8"/>
              </w:numPr>
              <w:ind w:firstLineChars="0"/>
              <w:jc w:val="center"/>
              <w:rPr>
                <w:rFonts w:eastAsiaTheme="minorEastAsia"/>
                <w:lang w:eastAsia="zh-CN"/>
              </w:rPr>
            </w:pPr>
          </w:p>
        </w:tc>
        <w:tc>
          <w:tcPr>
            <w:tcW w:w="1728" w:type="pct"/>
            <w:tcBorders>
              <w:top w:val="single" w:color="000000" w:sz="4" w:space="0"/>
              <w:left w:val="single" w:color="auto" w:sz="4" w:space="0"/>
              <w:bottom w:val="single" w:color="000000" w:sz="4" w:space="0"/>
              <w:right w:val="single" w:color="000000" w:sz="4" w:space="0"/>
            </w:tcBorders>
          </w:tcPr>
          <w:p w14:paraId="7DD70923">
            <w:pPr>
              <w:pStyle w:val="133"/>
              <w:spacing w:line="286"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新能源汽车</w:t>
            </w:r>
          </w:p>
          <w:p w14:paraId="5229A625">
            <w:pPr>
              <w:pStyle w:val="133"/>
              <w:spacing w:line="286"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动力蓄电池</w:t>
            </w:r>
          </w:p>
          <w:p w14:paraId="14311C1D">
            <w:pPr>
              <w:pStyle w:val="133"/>
              <w:spacing w:line="286"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及管理技术</w:t>
            </w:r>
          </w:p>
        </w:tc>
        <w:tc>
          <w:tcPr>
            <w:tcW w:w="1952" w:type="pct"/>
            <w:tcBorders>
              <w:top w:val="single" w:color="000000" w:sz="4" w:space="0"/>
              <w:left w:val="single" w:color="000000" w:sz="4" w:space="0"/>
              <w:bottom w:val="single" w:color="000000" w:sz="4" w:space="0"/>
              <w:right w:val="single" w:color="000000" w:sz="4" w:space="0"/>
            </w:tcBorders>
          </w:tcPr>
          <w:p w14:paraId="3D1F984E">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① 依据安全操作规范要求，按照</w:t>
            </w:r>
          </w:p>
          <w:p w14:paraId="593A1F30">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工艺文件测试动力蓄电池的性能（单</w:t>
            </w:r>
          </w:p>
          <w:p w14:paraId="11BD8CCF">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体、模组、总成、内部安全组件）。</w:t>
            </w:r>
          </w:p>
          <w:p w14:paraId="48AC3AAD">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② 依据国家有关标准，按照工艺文</w:t>
            </w:r>
          </w:p>
          <w:p w14:paraId="2FE4A6D1">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件进行动力蓄电池总成装配与调试。</w:t>
            </w:r>
          </w:p>
          <w:p w14:paraId="72CEE5B3">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③ 依据国家有关标准，按照工艺文</w:t>
            </w:r>
          </w:p>
          <w:p w14:paraId="360F9590">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件对动力蓄电池管理系统进行装配与</w:t>
            </w:r>
          </w:p>
          <w:p w14:paraId="686C7190">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调试。</w:t>
            </w:r>
          </w:p>
          <w:p w14:paraId="2FCD6E5C">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④ 使用维修手册或电路图（装配</w:t>
            </w:r>
          </w:p>
          <w:p w14:paraId="0D254561">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图），利用检测设备对动力蓄电池及</w:t>
            </w:r>
          </w:p>
          <w:p w14:paraId="3B105323">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管理系统进行性能测试和故障诊断</w:t>
            </w:r>
          </w:p>
        </w:tc>
        <w:tc>
          <w:tcPr>
            <w:tcW w:w="1022" w:type="pct"/>
            <w:tcBorders>
              <w:top w:val="single" w:color="000000" w:sz="4" w:space="0"/>
              <w:left w:val="single" w:color="000000" w:sz="4" w:space="0"/>
              <w:bottom w:val="single" w:color="000000" w:sz="4" w:space="0"/>
              <w:right w:val="single" w:color="000000" w:sz="4" w:space="0"/>
            </w:tcBorders>
          </w:tcPr>
          <w:p w14:paraId="0A5DDDE8">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① 了解动力蓄电池的类型、结构、不</w:t>
            </w:r>
          </w:p>
          <w:p w14:paraId="63748F0D">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同车型位置与性能指标、试验条件与方</w:t>
            </w:r>
          </w:p>
          <w:p w14:paraId="2341F831">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法、回收管理与再利用办法等。</w:t>
            </w:r>
          </w:p>
          <w:p w14:paraId="48F4EA74">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② 掌握动力蓄电池管理系统控制架</w:t>
            </w:r>
          </w:p>
          <w:p w14:paraId="343A8F25">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构、逻辑。</w:t>
            </w:r>
          </w:p>
          <w:p w14:paraId="62F39FF5">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③ 能够测试动力蓄电池的性能（单体、</w:t>
            </w:r>
          </w:p>
          <w:p w14:paraId="7633183A">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模组、总成、内部安全组件）；</w:t>
            </w:r>
          </w:p>
          <w:p w14:paraId="3B100DB0">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④ 能够装配与调试动力蓄电池总成</w:t>
            </w:r>
          </w:p>
          <w:p w14:paraId="3314F47C">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（单体、模组、PACK）。</w:t>
            </w:r>
          </w:p>
          <w:p w14:paraId="47A22C0E">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⑤ 能够装配与调试动力蓄电池管理系统。</w:t>
            </w:r>
          </w:p>
          <w:p w14:paraId="75F44766">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⑥ 能够利用检测设备对动力蓄电池及</w:t>
            </w:r>
          </w:p>
          <w:p w14:paraId="7C522DF1">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管理系统进行性能测试和故障诊断</w:t>
            </w:r>
          </w:p>
        </w:tc>
      </w:tr>
      <w:tr w14:paraId="5E256063">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1A31523">
            <w:pPr>
              <w:pStyle w:val="33"/>
              <w:numPr>
                <w:ilvl w:val="0"/>
                <w:numId w:val="8"/>
              </w:numPr>
              <w:ind w:firstLineChars="0"/>
              <w:jc w:val="center"/>
              <w:rPr>
                <w:rFonts w:eastAsiaTheme="minorEastAsia"/>
                <w:lang w:eastAsia="en-US"/>
              </w:rPr>
            </w:pPr>
          </w:p>
        </w:tc>
        <w:tc>
          <w:tcPr>
            <w:tcW w:w="1728" w:type="pct"/>
            <w:tcBorders>
              <w:top w:val="single" w:color="000000" w:sz="4" w:space="0"/>
              <w:left w:val="single" w:color="auto" w:sz="4" w:space="0"/>
              <w:bottom w:val="single" w:color="000000" w:sz="4" w:space="0"/>
              <w:right w:val="single" w:color="000000" w:sz="4" w:space="0"/>
            </w:tcBorders>
          </w:tcPr>
          <w:p w14:paraId="0C262E56">
            <w:pPr>
              <w:pStyle w:val="133"/>
              <w:spacing w:line="286"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新能源汽车</w:t>
            </w:r>
          </w:p>
          <w:p w14:paraId="24E2E88A">
            <w:pPr>
              <w:pStyle w:val="133"/>
              <w:spacing w:line="286"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驱动电机及</w:t>
            </w:r>
          </w:p>
          <w:p w14:paraId="086EA9AC">
            <w:pPr>
              <w:pStyle w:val="133"/>
              <w:spacing w:line="286"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控制技术</w:t>
            </w:r>
          </w:p>
        </w:tc>
        <w:tc>
          <w:tcPr>
            <w:tcW w:w="1952" w:type="pct"/>
            <w:tcBorders>
              <w:top w:val="single" w:color="000000" w:sz="4" w:space="0"/>
              <w:left w:val="single" w:color="000000" w:sz="4" w:space="0"/>
              <w:bottom w:val="single" w:color="000000" w:sz="4" w:space="0"/>
              <w:right w:val="single" w:color="000000" w:sz="4" w:space="0"/>
            </w:tcBorders>
          </w:tcPr>
          <w:p w14:paraId="23B65909">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① 依据安全操作规范要求，按照</w:t>
            </w:r>
          </w:p>
          <w:p w14:paraId="4700CC66">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工艺文件对不同类型的电机/变频器</w:t>
            </w:r>
          </w:p>
          <w:p w14:paraId="6B0E8E82">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的总成进行装配与调试。</w:t>
            </w:r>
          </w:p>
          <w:p w14:paraId="4A9A07BA">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② 按照工艺文件进行不同类型的</w:t>
            </w:r>
          </w:p>
          <w:p w14:paraId="025E9A66">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电机、变频器的整车装配与调试。</w:t>
            </w:r>
          </w:p>
          <w:p w14:paraId="11335A2D">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③ 按照工艺文件，使用专用工具</w:t>
            </w:r>
          </w:p>
          <w:p w14:paraId="481312F3">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进行混合动力变速器/传动桥的总成</w:t>
            </w:r>
          </w:p>
          <w:p w14:paraId="23C1D8F3">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装配与调试。</w:t>
            </w:r>
          </w:p>
          <w:p w14:paraId="77D49B00">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④ 使用维修手册或电路图（装配</w:t>
            </w:r>
          </w:p>
          <w:p w14:paraId="2781D041">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图），利用检测设备对驱动电机及控</w:t>
            </w:r>
          </w:p>
          <w:p w14:paraId="186FE9AD">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制系统进行性能测试和故障诊断</w:t>
            </w:r>
          </w:p>
        </w:tc>
        <w:tc>
          <w:tcPr>
            <w:tcW w:w="1022" w:type="pct"/>
            <w:tcBorders>
              <w:top w:val="single" w:color="000000" w:sz="4" w:space="0"/>
              <w:left w:val="single" w:color="000000" w:sz="4" w:space="0"/>
              <w:bottom w:val="single" w:color="000000" w:sz="4" w:space="0"/>
              <w:right w:val="single" w:color="000000" w:sz="4" w:space="0"/>
            </w:tcBorders>
          </w:tcPr>
          <w:p w14:paraId="2E8D2FF9">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① 掌握不同类型电机的结构、位置与</w:t>
            </w:r>
          </w:p>
          <w:p w14:paraId="6BB951D0">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控制策略。</w:t>
            </w:r>
          </w:p>
          <w:p w14:paraId="29B84CCA">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② 能够完成不同类型的电机/变频器</w:t>
            </w:r>
          </w:p>
          <w:p w14:paraId="28AC9C61">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的总成装配与调试。</w:t>
            </w:r>
          </w:p>
          <w:p w14:paraId="2B3B288F">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③ 能够完成不同类型的电机/变频器</w:t>
            </w:r>
          </w:p>
          <w:p w14:paraId="6CED788C">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的整车装配与调试。</w:t>
            </w:r>
          </w:p>
          <w:p w14:paraId="68BF3B83">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④ 能够完成混合动力变速器/传动桥</w:t>
            </w:r>
          </w:p>
          <w:p w14:paraId="21290CEC">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的总成装配与调试。</w:t>
            </w:r>
          </w:p>
          <w:p w14:paraId="4F1298A0">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⑤ 能够利用检测设备对驱动电机及控</w:t>
            </w:r>
          </w:p>
          <w:p w14:paraId="5ED1385C">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制系统进行性能测试（静态/动态、不同</w:t>
            </w:r>
          </w:p>
          <w:p w14:paraId="1864628C">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工况/路况/负载等）和故障诊断</w:t>
            </w:r>
          </w:p>
        </w:tc>
      </w:tr>
      <w:tr w14:paraId="2FACF997">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5AEF9366">
            <w:pPr>
              <w:pStyle w:val="33"/>
              <w:numPr>
                <w:ilvl w:val="0"/>
                <w:numId w:val="8"/>
              </w:numPr>
              <w:ind w:firstLineChars="0"/>
              <w:jc w:val="center"/>
              <w:rPr>
                <w:rFonts w:eastAsiaTheme="minorEastAsia"/>
                <w:lang w:eastAsia="en-US"/>
              </w:rPr>
            </w:pPr>
          </w:p>
        </w:tc>
        <w:tc>
          <w:tcPr>
            <w:tcW w:w="1728" w:type="pct"/>
            <w:tcBorders>
              <w:top w:val="single" w:color="000000" w:sz="4" w:space="0"/>
              <w:left w:val="single" w:color="auto" w:sz="4" w:space="0"/>
              <w:bottom w:val="single" w:color="000000" w:sz="4" w:space="0"/>
              <w:right w:val="single" w:color="000000" w:sz="4" w:space="0"/>
            </w:tcBorders>
          </w:tcPr>
          <w:p w14:paraId="4008EB11">
            <w:pPr>
              <w:pStyle w:val="133"/>
              <w:spacing w:line="286"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新能源汽车整</w:t>
            </w:r>
          </w:p>
          <w:p w14:paraId="33F69D4D">
            <w:pPr>
              <w:pStyle w:val="133"/>
              <w:spacing w:line="286"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车控制技术</w:t>
            </w:r>
          </w:p>
        </w:tc>
        <w:tc>
          <w:tcPr>
            <w:tcW w:w="1952" w:type="pct"/>
            <w:tcBorders>
              <w:top w:val="single" w:color="000000" w:sz="4" w:space="0"/>
              <w:left w:val="single" w:color="000000" w:sz="4" w:space="0"/>
              <w:bottom w:val="single" w:color="000000" w:sz="4" w:space="0"/>
              <w:right w:val="single" w:color="000000" w:sz="4" w:space="0"/>
            </w:tcBorders>
          </w:tcPr>
          <w:p w14:paraId="42CE62EA">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① 使用维修手册或电路图（装配</w:t>
            </w:r>
          </w:p>
          <w:p w14:paraId="09BF96C0">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图），利用检测设备对车载网络控制</w:t>
            </w:r>
          </w:p>
          <w:p w14:paraId="44413318">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系统进行性能测试和故障诊断。</w:t>
            </w:r>
          </w:p>
          <w:p w14:paraId="109DEF50">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② 使用维修手册或电路图（装配</w:t>
            </w:r>
          </w:p>
          <w:p w14:paraId="3C86B3C6">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图），利用检测设备对整车电源管理</w:t>
            </w:r>
          </w:p>
          <w:p w14:paraId="6112345A">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系统进行性能测试和故障诊断。</w:t>
            </w:r>
          </w:p>
          <w:p w14:paraId="69C543E9">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③ 使用维修手册或电路图（装配</w:t>
            </w:r>
          </w:p>
          <w:p w14:paraId="21E934FC">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图），利用检测设备对混合动力发动机</w:t>
            </w:r>
          </w:p>
          <w:p w14:paraId="16FD665F">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控制系统进行性能测试和故障诊断</w:t>
            </w:r>
          </w:p>
        </w:tc>
        <w:tc>
          <w:tcPr>
            <w:tcW w:w="1022" w:type="pct"/>
            <w:tcBorders>
              <w:top w:val="single" w:color="000000" w:sz="4" w:space="0"/>
              <w:left w:val="single" w:color="000000" w:sz="4" w:space="0"/>
              <w:bottom w:val="single" w:color="000000" w:sz="4" w:space="0"/>
              <w:right w:val="single" w:color="000000" w:sz="4" w:space="0"/>
            </w:tcBorders>
          </w:tcPr>
          <w:p w14:paraId="2A13A1DF">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① 了解车载网络（CAN、MOST、以</w:t>
            </w:r>
          </w:p>
          <w:p w14:paraId="3B80E171">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太网、LIN、PWM、FlexRay 等）的常用</w:t>
            </w:r>
          </w:p>
          <w:p w14:paraId="0A4289BB">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术语与功能、数据信号的类别及传输方</w:t>
            </w:r>
          </w:p>
          <w:p w14:paraId="51817B5F">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式、车载网络分类与协议标准、控制策略。</w:t>
            </w:r>
          </w:p>
          <w:p w14:paraId="75463064">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② 掌握高压接触器的结构、类型，高</w:t>
            </w:r>
          </w:p>
          <w:p w14:paraId="0A74E9E7">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压上电、充电时各接触器的时序，整车电</w:t>
            </w:r>
          </w:p>
          <w:p w14:paraId="031828EE">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源管理系统的结构组成、控制策略。</w:t>
            </w:r>
          </w:p>
          <w:p w14:paraId="7F0EA407">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③ 了解混合动力发动机控制系统的技</w:t>
            </w:r>
          </w:p>
          <w:p w14:paraId="078D7E7B">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术特征、控制策略。</w:t>
            </w:r>
          </w:p>
          <w:p w14:paraId="6D3D8698">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④ 能够利用检测设备对车载网络控制</w:t>
            </w:r>
          </w:p>
          <w:p w14:paraId="39F70846">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系统、整车电源管理系统、混合动力发动</w:t>
            </w:r>
          </w:p>
          <w:p w14:paraId="124D045C">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机控制系统进行性能测试和故障诊断</w:t>
            </w:r>
          </w:p>
        </w:tc>
      </w:tr>
      <w:tr w14:paraId="720A331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19EFEA3A">
            <w:pPr>
              <w:pStyle w:val="33"/>
              <w:numPr>
                <w:ilvl w:val="0"/>
                <w:numId w:val="8"/>
              </w:numPr>
              <w:ind w:firstLineChars="0"/>
              <w:jc w:val="center"/>
              <w:rPr>
                <w:rFonts w:eastAsiaTheme="minorEastAsia"/>
                <w:lang w:eastAsia="en-US"/>
              </w:rPr>
            </w:pPr>
          </w:p>
        </w:tc>
        <w:tc>
          <w:tcPr>
            <w:tcW w:w="1728" w:type="pct"/>
            <w:tcBorders>
              <w:top w:val="single" w:color="000000" w:sz="4" w:space="0"/>
              <w:left w:val="single" w:color="auto" w:sz="4" w:space="0"/>
              <w:bottom w:val="single" w:color="000000" w:sz="4" w:space="0"/>
              <w:right w:val="single" w:color="000000" w:sz="4" w:space="0"/>
            </w:tcBorders>
          </w:tcPr>
          <w:p w14:paraId="33E2B642">
            <w:pPr>
              <w:pStyle w:val="133"/>
              <w:spacing w:line="286"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汽车制造工艺</w:t>
            </w:r>
          </w:p>
          <w:p w14:paraId="23F97AC7">
            <w:pPr>
              <w:pStyle w:val="133"/>
              <w:spacing w:line="286"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技术</w:t>
            </w:r>
          </w:p>
        </w:tc>
        <w:tc>
          <w:tcPr>
            <w:tcW w:w="1952" w:type="pct"/>
            <w:tcBorders>
              <w:top w:val="single" w:color="000000" w:sz="4" w:space="0"/>
              <w:left w:val="single" w:color="000000" w:sz="4" w:space="0"/>
              <w:bottom w:val="single" w:color="000000" w:sz="4" w:space="0"/>
              <w:right w:val="single" w:color="000000" w:sz="4" w:space="0"/>
            </w:tcBorders>
          </w:tcPr>
          <w:p w14:paraId="3A89E577">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① 依据安全操作规范要求，按照</w:t>
            </w:r>
          </w:p>
          <w:p w14:paraId="02EF4F60">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工艺文件，利用检测设备对冲压件质</w:t>
            </w:r>
          </w:p>
          <w:p w14:paraId="3137025A">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量进行检测。</w:t>
            </w:r>
          </w:p>
          <w:p w14:paraId="3D75FD0A">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② 依据安全操作规范要求，按照</w:t>
            </w:r>
          </w:p>
          <w:p w14:paraId="63B951DF">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工艺文件，利用检测设备对电阻点焊</w:t>
            </w:r>
          </w:p>
          <w:p w14:paraId="0454B5FF">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焊接、气体保护焊焊接质量进行检测。</w:t>
            </w:r>
          </w:p>
          <w:p w14:paraId="7E1E9AE0">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③ 依据安全操作规范要求，按照</w:t>
            </w:r>
          </w:p>
          <w:p w14:paraId="7CAF1689">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工艺文件，利用检测设备对涂装件的</w:t>
            </w:r>
          </w:p>
          <w:p w14:paraId="10DA9C5F">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涂膜质量进行检测。</w:t>
            </w:r>
          </w:p>
          <w:p w14:paraId="18BDAD5C">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④ 依据安全操作规范要求，按照工</w:t>
            </w:r>
          </w:p>
          <w:p w14:paraId="7938511D">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艺文件，利用高压绝缘拆装工具对汽车</w:t>
            </w:r>
          </w:p>
          <w:p w14:paraId="34E7F79D">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整车及关键零部件进行装配与调试</w:t>
            </w:r>
          </w:p>
        </w:tc>
        <w:tc>
          <w:tcPr>
            <w:tcW w:w="1022" w:type="pct"/>
            <w:tcBorders>
              <w:top w:val="single" w:color="000000" w:sz="4" w:space="0"/>
              <w:left w:val="single" w:color="000000" w:sz="4" w:space="0"/>
              <w:bottom w:val="single" w:color="000000" w:sz="4" w:space="0"/>
              <w:right w:val="single" w:color="000000" w:sz="4" w:space="0"/>
            </w:tcBorders>
          </w:tcPr>
          <w:p w14:paraId="7A7E3AC6">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① 了解汽车覆盖件冲压工艺、汽车车</w:t>
            </w:r>
          </w:p>
          <w:p w14:paraId="506BB79C">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身焊接工艺、汽车涂装工艺等基础知识及</w:t>
            </w:r>
          </w:p>
          <w:p w14:paraId="11B7FCF2">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总装车间生产工艺流程。</w:t>
            </w:r>
          </w:p>
          <w:p w14:paraId="49FA329B">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② 掌握冲压铸造模具、钢板模具知识，</w:t>
            </w:r>
          </w:p>
          <w:p w14:paraId="10F92CA1">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掌握车身电阻点焊、气体保护焊等焊接基本</w:t>
            </w:r>
          </w:p>
          <w:p w14:paraId="795BF24F">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原理及质量检验方法，掌握汽车底漆、面漆</w:t>
            </w:r>
          </w:p>
          <w:p w14:paraId="03961453">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的喷涂工艺和汽车总装工艺设计原则。</w:t>
            </w:r>
          </w:p>
          <w:p w14:paraId="1262B297">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③ 能够检验冲压件、焊接件、涂装件</w:t>
            </w:r>
          </w:p>
          <w:p w14:paraId="1F80119E">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的质量缺陷。</w:t>
            </w:r>
          </w:p>
          <w:p w14:paraId="1135F49C">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④ 能够编制总装工艺技术文件，能够</w:t>
            </w:r>
          </w:p>
          <w:p w14:paraId="52F19BE9">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利用专用工具对新能源汽车整车及关键</w:t>
            </w:r>
          </w:p>
          <w:p w14:paraId="42131B46">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零部件进行装配与调试</w:t>
            </w:r>
          </w:p>
        </w:tc>
      </w:tr>
      <w:tr w14:paraId="4C5D102A">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0C5680A1">
            <w:pPr>
              <w:pStyle w:val="33"/>
              <w:numPr>
                <w:ilvl w:val="0"/>
                <w:numId w:val="8"/>
              </w:numPr>
              <w:ind w:firstLineChars="0"/>
              <w:jc w:val="center"/>
              <w:rPr>
                <w:rFonts w:eastAsiaTheme="minorEastAsia"/>
                <w:lang w:eastAsia="en-US"/>
              </w:rPr>
            </w:pPr>
          </w:p>
        </w:tc>
        <w:tc>
          <w:tcPr>
            <w:tcW w:w="1728" w:type="pct"/>
            <w:tcBorders>
              <w:top w:val="single" w:color="000000" w:sz="4" w:space="0"/>
              <w:left w:val="single" w:color="auto" w:sz="4" w:space="0"/>
              <w:bottom w:val="single" w:color="000000" w:sz="4" w:space="0"/>
              <w:right w:val="single" w:color="000000" w:sz="4" w:space="0"/>
            </w:tcBorders>
          </w:tcPr>
          <w:p w14:paraId="1833E56C">
            <w:pPr>
              <w:pStyle w:val="133"/>
              <w:spacing w:line="286"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新能源汽车试</w:t>
            </w:r>
          </w:p>
          <w:p w14:paraId="6D91456D">
            <w:pPr>
              <w:pStyle w:val="133"/>
              <w:spacing w:line="286"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验技术</w:t>
            </w:r>
          </w:p>
        </w:tc>
        <w:tc>
          <w:tcPr>
            <w:tcW w:w="1952" w:type="pct"/>
            <w:tcBorders>
              <w:top w:val="single" w:color="000000" w:sz="4" w:space="0"/>
              <w:left w:val="single" w:color="000000" w:sz="4" w:space="0"/>
              <w:bottom w:val="single" w:color="000000" w:sz="4" w:space="0"/>
              <w:right w:val="single" w:color="000000" w:sz="4" w:space="0"/>
            </w:tcBorders>
          </w:tcPr>
          <w:p w14:paraId="3A82AEE8">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依据编制试验项目要求和标准，使</w:t>
            </w:r>
          </w:p>
          <w:p w14:paraId="0E98ED63">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用相关试验设备和软件，完成新能源</w:t>
            </w:r>
          </w:p>
          <w:p w14:paraId="2C3FDDB6">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汽车整车及关键零部件试验台架搭</w:t>
            </w:r>
          </w:p>
          <w:p w14:paraId="1F29D123">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建，进行汽车性能试验、数据采集与</w:t>
            </w:r>
          </w:p>
          <w:p w14:paraId="7921557D">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分析</w:t>
            </w:r>
          </w:p>
        </w:tc>
        <w:tc>
          <w:tcPr>
            <w:tcW w:w="1022" w:type="pct"/>
            <w:tcBorders>
              <w:top w:val="single" w:color="000000" w:sz="4" w:space="0"/>
              <w:left w:val="single" w:color="000000" w:sz="4" w:space="0"/>
              <w:bottom w:val="single" w:color="000000" w:sz="4" w:space="0"/>
              <w:right w:val="single" w:color="000000" w:sz="4" w:space="0"/>
            </w:tcBorders>
          </w:tcPr>
          <w:p w14:paraId="1496327A">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① 掌握新能源汽车试验分类，国家与</w:t>
            </w:r>
          </w:p>
          <w:p w14:paraId="3F750D2A">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行业新能源汽车试验标准。</w:t>
            </w:r>
          </w:p>
          <w:p w14:paraId="65A3913B">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② 掌握新能源汽车试验设备安全操作</w:t>
            </w:r>
          </w:p>
          <w:p w14:paraId="30C0C303">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与使用方法，能够搭建试验台架，对新能</w:t>
            </w:r>
          </w:p>
          <w:p w14:paraId="7B8AD6E2">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源汽车整车及关键零部件进行性能试验。</w:t>
            </w:r>
          </w:p>
          <w:p w14:paraId="761F1E5A">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③ 掌握新能源汽车试验数据采集、处</w:t>
            </w:r>
          </w:p>
          <w:p w14:paraId="23F52C0B">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理与分析方法，能够对采集数据进行分析</w:t>
            </w:r>
          </w:p>
          <w:p w14:paraId="0ED99606">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与处理</w:t>
            </w:r>
          </w:p>
        </w:tc>
      </w:tr>
      <w:tr w14:paraId="612818E4">
        <w:tblPrEx>
          <w:tblCellMar>
            <w:top w:w="0" w:type="dxa"/>
            <w:left w:w="0" w:type="dxa"/>
            <w:bottom w:w="0" w:type="dxa"/>
            <w:right w:w="0" w:type="dxa"/>
          </w:tblCellMar>
        </w:tblPrEx>
        <w:trPr>
          <w:trHeight w:val="908" w:hRule="atLeast"/>
          <w:jc w:val="center"/>
        </w:trPr>
        <w:tc>
          <w:tcPr>
            <w:tcW w:w="298" w:type="pct"/>
            <w:tcBorders>
              <w:top w:val="single" w:color="auto" w:sz="4" w:space="0"/>
              <w:left w:val="single" w:color="auto" w:sz="4" w:space="0"/>
              <w:bottom w:val="single" w:color="auto" w:sz="4" w:space="0"/>
              <w:right w:val="single" w:color="auto" w:sz="4" w:space="0"/>
            </w:tcBorders>
            <w:vAlign w:val="center"/>
          </w:tcPr>
          <w:p w14:paraId="2941E6A3">
            <w:pPr>
              <w:pStyle w:val="33"/>
              <w:numPr>
                <w:ilvl w:val="0"/>
                <w:numId w:val="8"/>
              </w:numPr>
              <w:ind w:firstLineChars="0"/>
              <w:jc w:val="center"/>
              <w:rPr>
                <w:rFonts w:eastAsiaTheme="minorEastAsia"/>
                <w:lang w:eastAsia="en-US"/>
              </w:rPr>
            </w:pPr>
          </w:p>
        </w:tc>
        <w:tc>
          <w:tcPr>
            <w:tcW w:w="1728" w:type="pct"/>
            <w:tcBorders>
              <w:top w:val="single" w:color="000000" w:sz="4" w:space="0"/>
              <w:left w:val="single" w:color="auto" w:sz="4" w:space="0"/>
              <w:bottom w:val="single" w:color="000000" w:sz="4" w:space="0"/>
              <w:right w:val="single" w:color="000000" w:sz="4" w:space="0"/>
            </w:tcBorders>
          </w:tcPr>
          <w:p w14:paraId="794CBFA2">
            <w:pPr>
              <w:pStyle w:val="133"/>
              <w:spacing w:line="286"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新能源汽车故</w:t>
            </w:r>
          </w:p>
          <w:p w14:paraId="6039CAB6">
            <w:pPr>
              <w:pStyle w:val="133"/>
              <w:spacing w:line="286" w:lineRule="exact"/>
              <w:ind w:left="103"/>
              <w:rPr>
                <w:rFonts w:hint="eastAsia" w:ascii="宋体" w:hAnsi="宋体" w:eastAsia="宋体" w:cs="宋体"/>
                <w:sz w:val="21"/>
                <w:szCs w:val="21"/>
                <w:lang w:eastAsia="zh-CN"/>
              </w:rPr>
            </w:pPr>
            <w:r>
              <w:rPr>
                <w:rFonts w:hint="eastAsia" w:ascii="宋体" w:hAnsi="宋体" w:eastAsia="宋体" w:cs="宋体"/>
                <w:sz w:val="21"/>
                <w:szCs w:val="21"/>
                <w:lang w:eastAsia="zh-CN"/>
              </w:rPr>
              <w:t>障诊断技术</w:t>
            </w:r>
          </w:p>
        </w:tc>
        <w:tc>
          <w:tcPr>
            <w:tcW w:w="1952" w:type="pct"/>
            <w:tcBorders>
              <w:top w:val="single" w:color="000000" w:sz="4" w:space="0"/>
              <w:left w:val="single" w:color="000000" w:sz="4" w:space="0"/>
              <w:bottom w:val="single" w:color="000000" w:sz="4" w:space="0"/>
              <w:right w:val="single" w:color="000000" w:sz="4" w:space="0"/>
            </w:tcBorders>
          </w:tcPr>
          <w:p w14:paraId="5C5254F4">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① 使用维修手册或电路图（装配</w:t>
            </w:r>
          </w:p>
          <w:p w14:paraId="2F792DC4">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图），利用检测设备诊断与修复低压</w:t>
            </w:r>
          </w:p>
          <w:p w14:paraId="5FB71547">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供电不正常故障。</w:t>
            </w:r>
          </w:p>
          <w:p w14:paraId="7E59F47D">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② 使用维修手册或电路图（装配</w:t>
            </w:r>
          </w:p>
          <w:p w14:paraId="6EF92D68">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图），利用检测设备诊断与修复高压</w:t>
            </w:r>
          </w:p>
          <w:p w14:paraId="6B09619A">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供电不正常故障。</w:t>
            </w:r>
          </w:p>
          <w:p w14:paraId="10CC6841">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③ 使用维修手册或电路图（装配</w:t>
            </w:r>
          </w:p>
          <w:p w14:paraId="564E9846">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图），利用检测设备诊断与修复充电</w:t>
            </w:r>
          </w:p>
          <w:p w14:paraId="07F175E6">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不正常故障。</w:t>
            </w:r>
          </w:p>
          <w:p w14:paraId="55D0CB47">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④ 使用维修手册或电路图（装配</w:t>
            </w:r>
          </w:p>
          <w:p w14:paraId="39F935D4">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图），利用检测设备诊断与修复无法</w:t>
            </w:r>
          </w:p>
          <w:p w14:paraId="24229D9B">
            <w:pPr>
              <w:pStyle w:val="133"/>
              <w:spacing w:before="102"/>
              <w:ind w:left="100" w:right="102"/>
              <w:rPr>
                <w:rFonts w:hint="eastAsia" w:ascii="宋体" w:hAnsi="宋体" w:eastAsia="宋体" w:cs="宋体"/>
                <w:sz w:val="21"/>
                <w:szCs w:val="21"/>
                <w:lang w:eastAsia="zh-CN"/>
              </w:rPr>
            </w:pPr>
            <w:r>
              <w:rPr>
                <w:rFonts w:hint="eastAsia" w:ascii="宋体" w:hAnsi="宋体" w:eastAsia="宋体" w:cs="宋体"/>
                <w:sz w:val="21"/>
                <w:szCs w:val="21"/>
                <w:lang w:eastAsia="zh-CN"/>
              </w:rPr>
              <w:t>正常行驶故障</w:t>
            </w:r>
          </w:p>
        </w:tc>
        <w:tc>
          <w:tcPr>
            <w:tcW w:w="1022" w:type="pct"/>
            <w:tcBorders>
              <w:top w:val="single" w:color="000000" w:sz="4" w:space="0"/>
              <w:left w:val="single" w:color="000000" w:sz="4" w:space="0"/>
              <w:bottom w:val="single" w:color="000000" w:sz="4" w:space="0"/>
              <w:right w:val="single" w:color="000000" w:sz="4" w:space="0"/>
            </w:tcBorders>
          </w:tcPr>
          <w:p w14:paraId="35B1EDE1">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① 掌握故障诊断五步法的诊断策略。</w:t>
            </w:r>
          </w:p>
          <w:p w14:paraId="6E1E513E">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② 能完成常见模块线脚定义分析。</w:t>
            </w:r>
          </w:p>
          <w:p w14:paraId="22255E65">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③ 能够利用检测设备诊断与修复低压</w:t>
            </w:r>
          </w:p>
          <w:p w14:paraId="17409D14">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供电不正常、高压供电不正常、充电不正</w:t>
            </w:r>
          </w:p>
          <w:p w14:paraId="5F0515F4">
            <w:pPr>
              <w:pStyle w:val="133"/>
              <w:ind w:left="103"/>
              <w:rPr>
                <w:rFonts w:hint="eastAsia" w:ascii="宋体" w:hAnsi="宋体" w:eastAsia="宋体" w:cs="宋体"/>
                <w:sz w:val="24"/>
                <w:szCs w:val="21"/>
                <w:lang w:eastAsia="zh-CN"/>
              </w:rPr>
            </w:pPr>
            <w:r>
              <w:rPr>
                <w:rFonts w:hint="eastAsia" w:ascii="宋体" w:hAnsi="宋体" w:eastAsia="宋体" w:cs="宋体"/>
                <w:sz w:val="24"/>
                <w:szCs w:val="21"/>
                <w:lang w:eastAsia="zh-CN"/>
              </w:rPr>
              <w:t>常、无法正常行驶等故障</w:t>
            </w:r>
          </w:p>
        </w:tc>
      </w:tr>
    </w:tbl>
    <w:p w14:paraId="4F33A77C">
      <w:pPr>
        <w:snapToGrid w:val="0"/>
        <w:spacing w:line="360" w:lineRule="auto"/>
        <w:contextualSpacing/>
        <w:rPr>
          <w:sz w:val="24"/>
        </w:rPr>
      </w:pPr>
    </w:p>
    <w:p w14:paraId="52B6B510">
      <w:pPr>
        <w:snapToGrid w:val="0"/>
        <w:spacing w:line="360" w:lineRule="auto"/>
        <w:ind w:firstLine="480" w:firstLineChars="200"/>
        <w:contextualSpacing/>
        <w:outlineLvl w:val="2"/>
        <w:rPr>
          <w:sz w:val="24"/>
        </w:rPr>
      </w:pPr>
      <w:bookmarkStart w:id="10" w:name="_Toc22287"/>
      <w:r>
        <w:rPr>
          <w:sz w:val="24"/>
        </w:rPr>
        <w:t>（3）专业拓展课程</w:t>
      </w:r>
      <w:bookmarkEnd w:id="10"/>
    </w:p>
    <w:p w14:paraId="51E6F326">
      <w:pPr>
        <w:snapToGrid w:val="0"/>
        <w:spacing w:line="360" w:lineRule="auto"/>
        <w:ind w:firstLine="480" w:firstLineChars="200"/>
        <w:contextualSpacing/>
        <w:rPr>
          <w:sz w:val="24"/>
        </w:rPr>
      </w:pPr>
      <w:r>
        <w:rPr>
          <w:rFonts w:hint="eastAsia"/>
          <w:sz w:val="24"/>
        </w:rPr>
        <w:t>主要包括：智能网联汽车概论、汽车智能共享出行概论、新能源汽车充电技术、微处理器原理与应用基础、汽车轻量化技术、燃料电池汽车技术、Python 程序设计、计算机辅助设计、人工智能技术及应用、汽车生产与质量管理、二手车鉴定评估等领域的内容。</w:t>
      </w:r>
    </w:p>
    <w:p w14:paraId="464D1422">
      <w:pPr>
        <w:pStyle w:val="4"/>
        <w:numPr>
          <w:ilvl w:val="0"/>
          <w:numId w:val="7"/>
        </w:numPr>
        <w:spacing w:line="360" w:lineRule="auto"/>
        <w:ind w:left="0" w:leftChars="0" w:firstLine="480" w:firstLineChars="200"/>
        <w:outlineLvl w:val="1"/>
        <w:rPr>
          <w:rFonts w:hint="eastAsia"/>
          <w:b w:val="0"/>
          <w:bCs w:val="0"/>
        </w:rPr>
      </w:pPr>
      <w:bookmarkStart w:id="11" w:name="_Toc13294"/>
      <w:r>
        <w:rPr>
          <w:b w:val="0"/>
          <w:bCs w:val="0"/>
        </w:rPr>
        <w:t>实践性教学环节</w:t>
      </w:r>
      <w:bookmarkEnd w:id="11"/>
    </w:p>
    <w:p w14:paraId="458100F0">
      <w:pPr>
        <w:snapToGrid w:val="0"/>
        <w:spacing w:line="360" w:lineRule="auto"/>
        <w:ind w:firstLine="480" w:firstLineChars="200"/>
        <w:contextualSpacing/>
        <w:rPr>
          <w:sz w:val="24"/>
        </w:rPr>
      </w:pPr>
      <w:r>
        <w:rPr>
          <w:rFonts w:hint="eastAsia"/>
          <w:sz w:val="24"/>
        </w:rPr>
        <w:t>实践性教学应贯穿于人才培养全过程。实践性教学主要包括实验、实习实训、毕业设计、社会实践活动等形式，公共基础课程和专业课程等都要加强实践性教学。</w:t>
      </w:r>
    </w:p>
    <w:p w14:paraId="160A36B8">
      <w:pPr>
        <w:snapToGrid w:val="0"/>
        <w:spacing w:line="360" w:lineRule="auto"/>
        <w:ind w:firstLine="480" w:firstLineChars="200"/>
        <w:contextualSpacing/>
        <w:outlineLvl w:val="2"/>
        <w:rPr>
          <w:sz w:val="24"/>
        </w:rPr>
      </w:pPr>
      <w:bookmarkStart w:id="12" w:name="_Toc14270"/>
      <w:r>
        <w:rPr>
          <w:sz w:val="24"/>
        </w:rPr>
        <w:t>（1）实训</w:t>
      </w:r>
      <w:bookmarkEnd w:id="12"/>
    </w:p>
    <w:p w14:paraId="51FA2AAD">
      <w:pPr>
        <w:snapToGrid w:val="0"/>
        <w:spacing w:line="360" w:lineRule="auto"/>
        <w:ind w:firstLine="480" w:firstLineChars="200"/>
        <w:contextualSpacing/>
        <w:rPr>
          <w:sz w:val="24"/>
        </w:rPr>
      </w:pPr>
      <w:r>
        <w:rPr>
          <w:rFonts w:hint="eastAsia"/>
          <w:sz w:val="24"/>
        </w:rPr>
        <w:t>在校内外进行新能源汽车电气系统、新能源汽车底盘系统、新能源汽车动力蓄电池及管理系统、新能源汽车驱动电机及控制系统、新能源汽车试验、新能源汽车整车控制系统等的装调、性能测试及检修等实训，包括单项技能实训、综合能力实训、生产性实训等。</w:t>
      </w:r>
    </w:p>
    <w:p w14:paraId="20E1E692">
      <w:pPr>
        <w:snapToGrid w:val="0"/>
        <w:spacing w:line="360" w:lineRule="auto"/>
        <w:ind w:firstLine="480" w:firstLineChars="200"/>
        <w:contextualSpacing/>
        <w:outlineLvl w:val="2"/>
        <w:rPr>
          <w:sz w:val="24"/>
        </w:rPr>
      </w:pPr>
      <w:bookmarkStart w:id="13" w:name="_Toc2037"/>
      <w:r>
        <w:rPr>
          <w:sz w:val="24"/>
        </w:rPr>
        <w:t>（2）实习</w:t>
      </w:r>
      <w:bookmarkEnd w:id="13"/>
    </w:p>
    <w:p w14:paraId="22ADB49E">
      <w:pPr>
        <w:snapToGrid w:val="0"/>
        <w:spacing w:line="360" w:lineRule="auto"/>
        <w:ind w:firstLine="480" w:firstLineChars="200"/>
        <w:contextualSpacing/>
        <w:rPr>
          <w:rFonts w:hint="eastAsia"/>
          <w:sz w:val="24"/>
        </w:rPr>
      </w:pPr>
      <w:r>
        <w:rPr>
          <w:rFonts w:hint="eastAsia"/>
          <w:sz w:val="24"/>
        </w:rPr>
        <w:t>在汽车制造行业的整车制造企业、零部件制造企业进行实习，包括认识实习和岗位实习。</w:t>
      </w:r>
    </w:p>
    <w:p w14:paraId="09091103">
      <w:pPr>
        <w:snapToGrid w:val="0"/>
        <w:spacing w:line="360" w:lineRule="auto"/>
        <w:ind w:firstLine="480" w:firstLineChars="200"/>
        <w:contextualSpacing/>
        <w:rPr>
          <w:rFonts w:hint="eastAsia"/>
          <w:sz w:val="24"/>
        </w:rPr>
      </w:pPr>
      <w:r>
        <w:rPr>
          <w:rFonts w:hint="eastAsia"/>
          <w:sz w:val="24"/>
        </w:rPr>
        <w:t>学校应建立稳定、够用的实习基地，选派专门的实习指导教师和人员，组织开展专业对口实习，加强对学生实习的指导、管理和考核。</w:t>
      </w:r>
    </w:p>
    <w:p w14:paraId="2751614E">
      <w:pPr>
        <w:snapToGrid w:val="0"/>
        <w:spacing w:line="360" w:lineRule="auto"/>
        <w:ind w:firstLine="480" w:firstLineChars="200"/>
        <w:contextualSpacing/>
        <w:rPr>
          <w:rFonts w:hint="eastAsia"/>
          <w:sz w:val="24"/>
        </w:rPr>
      </w:pPr>
      <w:r>
        <w:rPr>
          <w:rFonts w:hint="eastAsia"/>
          <w:sz w:val="24"/>
        </w:rPr>
        <w:t>实习实训既是实践性教学，也是专业课教学的重要内容，应注重理论与实践一体化教学。</w:t>
      </w:r>
    </w:p>
    <w:p w14:paraId="04B501FF">
      <w:pPr>
        <w:snapToGrid w:val="0"/>
        <w:spacing w:line="360" w:lineRule="auto"/>
        <w:ind w:firstLine="480" w:firstLineChars="200"/>
        <w:contextualSpacing/>
        <w:rPr>
          <w:rFonts w:hint="eastAsia"/>
          <w:sz w:val="24"/>
        </w:rPr>
      </w:pPr>
      <w:r>
        <w:rPr>
          <w:rFonts w:hint="eastAsia"/>
          <w:sz w:val="24"/>
        </w:rPr>
        <w:t>学校可根据技能人才培养规律，结合企业生产周期，优化学期安排，灵活开展实践性教学。</w:t>
      </w:r>
    </w:p>
    <w:p w14:paraId="1FEB4425">
      <w:pPr>
        <w:snapToGrid w:val="0"/>
        <w:spacing w:line="360" w:lineRule="auto"/>
        <w:ind w:firstLine="480" w:firstLineChars="200"/>
        <w:contextualSpacing/>
        <w:rPr>
          <w:sz w:val="24"/>
        </w:rPr>
      </w:pPr>
      <w:r>
        <w:rPr>
          <w:rFonts w:hint="eastAsia"/>
          <w:sz w:val="24"/>
        </w:rPr>
        <w:t>应严格执行《职业学校学生实习管理规定》和相关专业岗位实习标准要求。</w:t>
      </w:r>
    </w:p>
    <w:p w14:paraId="15572B96">
      <w:pPr>
        <w:pStyle w:val="4"/>
        <w:numPr>
          <w:ilvl w:val="0"/>
          <w:numId w:val="7"/>
        </w:numPr>
        <w:spacing w:line="360" w:lineRule="auto"/>
        <w:ind w:left="0" w:leftChars="0" w:firstLine="480" w:firstLineChars="200"/>
        <w:outlineLvl w:val="1"/>
        <w:rPr>
          <w:rFonts w:hint="eastAsia"/>
          <w:b w:val="0"/>
          <w:bCs w:val="0"/>
        </w:rPr>
      </w:pPr>
      <w:bookmarkStart w:id="14" w:name="_Toc17294"/>
      <w:r>
        <w:rPr>
          <w:b w:val="0"/>
          <w:bCs w:val="0"/>
        </w:rPr>
        <w:t>相关要求</w:t>
      </w:r>
      <w:bookmarkEnd w:id="14"/>
    </w:p>
    <w:p w14:paraId="5AFF4DF8">
      <w:pPr>
        <w:spacing w:line="360" w:lineRule="auto"/>
        <w:rPr>
          <w:rFonts w:hint="eastAsia"/>
          <w:sz w:val="24"/>
        </w:rPr>
      </w:pPr>
      <w:r>
        <w:rPr>
          <w:rFonts w:hint="eastAsia"/>
          <w:sz w:val="24"/>
        </w:rPr>
        <w:t>学校应充分发挥思政课程和各类课程的育人功能。发挥思政课程政治引领和价值引领作</w:t>
      </w:r>
    </w:p>
    <w:p w14:paraId="23D6E8B3">
      <w:pPr>
        <w:spacing w:line="360" w:lineRule="auto"/>
        <w:rPr>
          <w:rFonts w:hint="eastAsia"/>
          <w:sz w:val="24"/>
        </w:rPr>
      </w:pPr>
      <w:r>
        <w:rPr>
          <w:rFonts w:hint="eastAsia"/>
          <w:sz w:val="24"/>
        </w:rPr>
        <w:t>用，在思政课程中有机融入党史、新中国史、改革开放史、社会主义发展史等相关内容；结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44F142C2">
      <w:pPr>
        <w:spacing w:line="360" w:lineRule="auto"/>
        <w:rPr>
          <w:rFonts w:hint="eastAsia"/>
          <w:sz w:val="24"/>
        </w:rPr>
      </w:pPr>
    </w:p>
    <w:p w14:paraId="4C2FC3FA">
      <w:pPr>
        <w:pStyle w:val="3"/>
        <w:spacing w:line="360" w:lineRule="auto"/>
        <w:ind w:left="-2" w:leftChars="-2" w:hanging="2" w:hangingChars="1"/>
        <w:outlineLvl w:val="0"/>
      </w:pPr>
      <w:bookmarkStart w:id="15" w:name="_Toc3705"/>
      <w:r>
        <w:t>学时安排</w:t>
      </w:r>
      <w:bookmarkEnd w:id="15"/>
    </w:p>
    <w:p w14:paraId="64EDB531">
      <w:pPr>
        <w:snapToGrid w:val="0"/>
        <w:spacing w:line="360" w:lineRule="auto"/>
        <w:ind w:firstLine="480" w:firstLineChars="200"/>
        <w:contextualSpacing/>
        <w:rPr>
          <w:rFonts w:hint="eastAsia"/>
          <w:sz w:val="24"/>
        </w:rPr>
      </w:pPr>
      <w:r>
        <w:rPr>
          <w:rFonts w:hint="eastAsia"/>
          <w:sz w:val="24"/>
        </w:rPr>
        <w:t>总学时一般为 2600 学时，每 16～18 学时折算 1 学分，其中，公共基础课总学时一般不少于总学时的 25%。实践性教学学时原则上不少于总学时的 50%，其中，实习时间累计一般为 6 个月，可根据实际情况集中或分阶段安排实习时间。各类选修课程学时累计不少于总学时的 10%。军训、社会实践、入学教育、毕业教育等活动按 1 周为 1 学分。</w:t>
      </w:r>
    </w:p>
    <w:p w14:paraId="409519A6">
      <w:pPr>
        <w:snapToGrid w:val="0"/>
        <w:spacing w:line="360" w:lineRule="auto"/>
        <w:ind w:firstLine="480" w:firstLineChars="200"/>
        <w:contextualSpacing/>
        <w:rPr>
          <w:rFonts w:hint="eastAsia"/>
          <w:sz w:val="24"/>
        </w:rPr>
      </w:pPr>
    </w:p>
    <w:p w14:paraId="3A7A8BCF">
      <w:pPr>
        <w:pStyle w:val="3"/>
        <w:spacing w:line="360" w:lineRule="auto"/>
        <w:ind w:left="-2" w:leftChars="-2" w:hanging="2" w:hangingChars="1"/>
        <w:outlineLvl w:val="0"/>
      </w:pPr>
      <w:bookmarkStart w:id="16" w:name="_Toc27973"/>
      <w:r>
        <w:t>教学活动时间分配表</w:t>
      </w:r>
      <w:bookmarkEnd w:id="16"/>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650FAB0E">
      <w:pPr>
        <w:snapToGrid w:val="0"/>
        <w:spacing w:line="360" w:lineRule="auto"/>
        <w:ind w:firstLine="420" w:firstLineChars="200"/>
        <w:contextualSpacing/>
      </w:pPr>
    </w:p>
    <w:p w14:paraId="1639D36A">
      <w:pPr>
        <w:pStyle w:val="3"/>
        <w:spacing w:line="360" w:lineRule="auto"/>
        <w:ind w:left="-2" w:leftChars="-2" w:hanging="2" w:hangingChars="1"/>
        <w:outlineLvl w:val="0"/>
      </w:pPr>
      <w:bookmarkStart w:id="17" w:name="_Toc10281"/>
      <w:r>
        <w:t>学时分配比例表</w:t>
      </w:r>
      <w:bookmarkEnd w:id="17"/>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0"/>
        <w:gridCol w:w="1722"/>
        <w:gridCol w:w="1722"/>
        <w:gridCol w:w="1722"/>
        <w:gridCol w:w="1720"/>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1"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1"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1"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90"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1" w:type="pct"/>
            <w:shd w:val="clear" w:color="auto" w:fill="auto"/>
            <w:noWrap/>
            <w:vAlign w:val="center"/>
          </w:tcPr>
          <w:p w14:paraId="1BA928D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720</w:t>
            </w:r>
          </w:p>
        </w:tc>
        <w:tc>
          <w:tcPr>
            <w:tcW w:w="891" w:type="pct"/>
            <w:shd w:val="clear" w:color="auto" w:fill="auto"/>
            <w:noWrap/>
            <w:vAlign w:val="center"/>
          </w:tcPr>
          <w:p w14:paraId="43912A7B">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406</w:t>
            </w:r>
          </w:p>
        </w:tc>
        <w:tc>
          <w:tcPr>
            <w:tcW w:w="891" w:type="pct"/>
            <w:shd w:val="clear" w:color="auto" w:fill="auto"/>
            <w:noWrap/>
            <w:vAlign w:val="center"/>
          </w:tcPr>
          <w:p w14:paraId="3317911E">
            <w:pPr>
              <w:widowControl/>
              <w:snapToGrid w:val="0"/>
              <w:spacing w:line="220" w:lineRule="exact"/>
              <w:jc w:val="center"/>
              <w:rPr>
                <w:rFonts w:hint="default" w:eastAsia="宋体"/>
                <w:b/>
                <w:sz w:val="24"/>
                <w:szCs w:val="28"/>
                <w:lang w:val="en-US" w:eastAsia="zh-CN"/>
              </w:rPr>
            </w:pPr>
            <w:r>
              <w:rPr>
                <w:rFonts w:hint="eastAsia"/>
                <w:b/>
                <w:sz w:val="24"/>
                <w:szCs w:val="28"/>
                <w:lang w:val="en-US" w:eastAsia="zh-CN"/>
              </w:rPr>
              <w:t>314</w:t>
            </w:r>
          </w:p>
        </w:tc>
        <w:tc>
          <w:tcPr>
            <w:tcW w:w="890" w:type="pct"/>
            <w:shd w:val="clear" w:color="auto" w:fill="auto"/>
            <w:noWrap/>
            <w:vAlign w:val="center"/>
          </w:tcPr>
          <w:p w14:paraId="2A26FCF9">
            <w:pPr>
              <w:snapToGrid w:val="0"/>
              <w:spacing w:line="360" w:lineRule="auto"/>
              <w:jc w:val="center"/>
              <w:rPr>
                <w:rFonts w:hint="default" w:eastAsia="宋体"/>
                <w:b/>
                <w:sz w:val="24"/>
                <w:szCs w:val="28"/>
                <w:lang w:val="en-US" w:eastAsia="zh-CN"/>
              </w:rPr>
            </w:pPr>
            <w:r>
              <w:rPr>
                <w:rFonts w:hint="eastAsia"/>
                <w:b/>
                <w:sz w:val="24"/>
                <w:szCs w:val="28"/>
                <w:lang w:val="en-US" w:eastAsia="zh-CN"/>
              </w:rPr>
              <w:t>43.61%</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891" w:type="pct"/>
            <w:shd w:val="clear" w:color="auto" w:fill="auto"/>
            <w:noWrap/>
            <w:vAlign w:val="center"/>
          </w:tcPr>
          <w:p w14:paraId="3A525892">
            <w:pPr>
              <w:snapToGrid w:val="0"/>
              <w:spacing w:line="360" w:lineRule="auto"/>
              <w:jc w:val="center"/>
              <w:rPr>
                <w:rFonts w:hint="default" w:eastAsia="宋体"/>
                <w:b/>
                <w:sz w:val="24"/>
                <w:szCs w:val="28"/>
                <w:lang w:val="en-US" w:eastAsia="zh-CN"/>
              </w:rPr>
            </w:pPr>
            <w:r>
              <w:rPr>
                <w:rFonts w:hint="eastAsia"/>
                <w:b/>
                <w:sz w:val="24"/>
                <w:szCs w:val="28"/>
                <w:lang w:val="en-US" w:eastAsia="zh-CN"/>
              </w:rPr>
              <w:t>224</w:t>
            </w:r>
          </w:p>
        </w:tc>
        <w:tc>
          <w:tcPr>
            <w:tcW w:w="891" w:type="pct"/>
            <w:shd w:val="clear" w:color="auto" w:fill="auto"/>
            <w:noWrap/>
            <w:vAlign w:val="center"/>
          </w:tcPr>
          <w:p w14:paraId="041C9AD5">
            <w:pPr>
              <w:snapToGrid w:val="0"/>
              <w:spacing w:line="360" w:lineRule="auto"/>
              <w:jc w:val="center"/>
              <w:rPr>
                <w:rFonts w:hint="default" w:eastAsia="宋体"/>
                <w:b/>
                <w:sz w:val="24"/>
                <w:szCs w:val="28"/>
                <w:lang w:val="en-US" w:eastAsia="zh-CN"/>
              </w:rPr>
            </w:pPr>
            <w:r>
              <w:rPr>
                <w:rFonts w:hint="eastAsia"/>
                <w:b/>
                <w:sz w:val="24"/>
                <w:szCs w:val="28"/>
                <w:lang w:val="en-US" w:eastAsia="zh-CN"/>
              </w:rPr>
              <w:t>140</w:t>
            </w:r>
          </w:p>
        </w:tc>
        <w:tc>
          <w:tcPr>
            <w:tcW w:w="891" w:type="pct"/>
            <w:shd w:val="clear" w:color="auto" w:fill="auto"/>
            <w:noWrap/>
            <w:vAlign w:val="center"/>
          </w:tcPr>
          <w:p w14:paraId="586C7CEC">
            <w:pPr>
              <w:snapToGrid w:val="0"/>
              <w:spacing w:line="360" w:lineRule="auto"/>
              <w:jc w:val="center"/>
              <w:rPr>
                <w:rFonts w:hint="default" w:eastAsia="宋体"/>
                <w:b/>
                <w:sz w:val="24"/>
                <w:szCs w:val="28"/>
                <w:lang w:val="en-US" w:eastAsia="zh-CN"/>
              </w:rPr>
            </w:pPr>
            <w:r>
              <w:rPr>
                <w:rFonts w:hint="eastAsia"/>
                <w:b/>
                <w:sz w:val="24"/>
                <w:szCs w:val="28"/>
                <w:lang w:val="en-US" w:eastAsia="zh-CN"/>
              </w:rPr>
              <w:t>84</w:t>
            </w:r>
          </w:p>
        </w:tc>
        <w:tc>
          <w:tcPr>
            <w:tcW w:w="890" w:type="pct"/>
            <w:shd w:val="clear" w:color="auto" w:fill="auto"/>
            <w:noWrap/>
            <w:vAlign w:val="center"/>
          </w:tcPr>
          <w:p w14:paraId="550155A1">
            <w:pPr>
              <w:snapToGrid w:val="0"/>
              <w:spacing w:line="360" w:lineRule="auto"/>
              <w:jc w:val="center"/>
              <w:rPr>
                <w:rFonts w:hint="default" w:eastAsia="宋体"/>
                <w:b/>
                <w:sz w:val="24"/>
                <w:szCs w:val="28"/>
                <w:lang w:val="en-US" w:eastAsia="zh-CN"/>
              </w:rPr>
            </w:pPr>
            <w:r>
              <w:rPr>
                <w:rFonts w:hint="eastAsia"/>
                <w:b/>
                <w:sz w:val="24"/>
                <w:szCs w:val="28"/>
                <w:lang w:val="en-US" w:eastAsia="zh-CN"/>
              </w:rPr>
              <w:t>37.50%</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891" w:type="pct"/>
            <w:shd w:val="clear" w:color="auto" w:fill="auto"/>
            <w:noWrap/>
            <w:vAlign w:val="center"/>
          </w:tcPr>
          <w:p w14:paraId="2CFEE657">
            <w:pPr>
              <w:snapToGrid w:val="0"/>
              <w:spacing w:line="360" w:lineRule="auto"/>
              <w:jc w:val="center"/>
              <w:rPr>
                <w:rFonts w:hint="default" w:eastAsia="宋体"/>
                <w:b/>
                <w:sz w:val="24"/>
                <w:szCs w:val="28"/>
                <w:lang w:val="en-US" w:eastAsia="zh-CN"/>
              </w:rPr>
            </w:pPr>
            <w:r>
              <w:rPr>
                <w:rFonts w:hint="eastAsia"/>
                <w:b/>
                <w:sz w:val="24"/>
                <w:szCs w:val="28"/>
                <w:lang w:val="en-US" w:eastAsia="zh-CN"/>
              </w:rPr>
              <w:t>448</w:t>
            </w:r>
          </w:p>
        </w:tc>
        <w:tc>
          <w:tcPr>
            <w:tcW w:w="891" w:type="pct"/>
            <w:shd w:val="clear" w:color="auto" w:fill="auto"/>
            <w:noWrap/>
            <w:vAlign w:val="center"/>
          </w:tcPr>
          <w:p w14:paraId="49D75EA3">
            <w:pPr>
              <w:snapToGrid w:val="0"/>
              <w:spacing w:line="360" w:lineRule="auto"/>
              <w:jc w:val="center"/>
              <w:rPr>
                <w:rFonts w:hint="default" w:eastAsia="宋体"/>
                <w:b/>
                <w:sz w:val="24"/>
                <w:szCs w:val="28"/>
                <w:lang w:val="en-US" w:eastAsia="zh-CN"/>
              </w:rPr>
            </w:pPr>
            <w:r>
              <w:rPr>
                <w:rFonts w:hint="eastAsia"/>
                <w:b/>
                <w:sz w:val="24"/>
                <w:szCs w:val="28"/>
                <w:lang w:val="en-US" w:eastAsia="zh-CN"/>
              </w:rPr>
              <w:t>284</w:t>
            </w:r>
          </w:p>
        </w:tc>
        <w:tc>
          <w:tcPr>
            <w:tcW w:w="891" w:type="pct"/>
            <w:shd w:val="clear" w:color="auto" w:fill="auto"/>
            <w:noWrap/>
            <w:vAlign w:val="center"/>
          </w:tcPr>
          <w:p w14:paraId="6656748B">
            <w:pPr>
              <w:snapToGrid w:val="0"/>
              <w:spacing w:line="360" w:lineRule="auto"/>
              <w:jc w:val="center"/>
              <w:rPr>
                <w:rFonts w:hint="default" w:eastAsia="宋体"/>
                <w:b/>
                <w:sz w:val="24"/>
                <w:szCs w:val="28"/>
                <w:lang w:val="en-US" w:eastAsia="zh-CN"/>
              </w:rPr>
            </w:pPr>
            <w:r>
              <w:rPr>
                <w:rFonts w:hint="eastAsia"/>
                <w:b/>
                <w:sz w:val="24"/>
                <w:szCs w:val="28"/>
                <w:lang w:val="en-US" w:eastAsia="zh-CN"/>
              </w:rPr>
              <w:t>164</w:t>
            </w:r>
          </w:p>
        </w:tc>
        <w:tc>
          <w:tcPr>
            <w:tcW w:w="890" w:type="pct"/>
            <w:shd w:val="clear" w:color="auto" w:fill="auto"/>
            <w:noWrap/>
            <w:vAlign w:val="center"/>
          </w:tcPr>
          <w:p w14:paraId="1DC1F6D4">
            <w:pPr>
              <w:snapToGrid w:val="0"/>
              <w:spacing w:line="360" w:lineRule="auto"/>
              <w:jc w:val="center"/>
              <w:rPr>
                <w:rFonts w:hint="default" w:eastAsia="宋体"/>
                <w:b/>
                <w:sz w:val="24"/>
                <w:szCs w:val="28"/>
                <w:lang w:val="en-US" w:eastAsia="zh-CN"/>
              </w:rPr>
            </w:pPr>
            <w:r>
              <w:rPr>
                <w:rFonts w:hint="eastAsia"/>
                <w:b/>
                <w:sz w:val="24"/>
                <w:szCs w:val="28"/>
                <w:lang w:val="en-US" w:eastAsia="zh-CN"/>
              </w:rPr>
              <w:t>36.60%</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891" w:type="pct"/>
            <w:shd w:val="clear" w:color="auto" w:fill="auto"/>
            <w:noWrap/>
            <w:vAlign w:val="center"/>
          </w:tcPr>
          <w:p w14:paraId="3C780F81">
            <w:pPr>
              <w:snapToGrid w:val="0"/>
              <w:spacing w:line="360" w:lineRule="auto"/>
              <w:jc w:val="center"/>
              <w:rPr>
                <w:rFonts w:hint="default" w:eastAsia="宋体"/>
                <w:b/>
                <w:sz w:val="24"/>
                <w:szCs w:val="28"/>
                <w:lang w:val="en-US" w:eastAsia="zh-CN"/>
              </w:rPr>
            </w:pPr>
            <w:r>
              <w:rPr>
                <w:rFonts w:hint="eastAsia"/>
                <w:b/>
                <w:sz w:val="24"/>
                <w:szCs w:val="28"/>
                <w:lang w:val="en-US" w:eastAsia="zh-CN"/>
              </w:rPr>
              <w:t>128</w:t>
            </w:r>
          </w:p>
        </w:tc>
        <w:tc>
          <w:tcPr>
            <w:tcW w:w="891" w:type="pct"/>
            <w:shd w:val="clear" w:color="auto" w:fill="auto"/>
            <w:noWrap/>
            <w:vAlign w:val="center"/>
          </w:tcPr>
          <w:p w14:paraId="64F79A95">
            <w:pPr>
              <w:snapToGrid w:val="0"/>
              <w:spacing w:line="360" w:lineRule="auto"/>
              <w:jc w:val="center"/>
              <w:rPr>
                <w:rFonts w:hint="default" w:eastAsia="宋体"/>
                <w:b/>
                <w:sz w:val="24"/>
                <w:szCs w:val="28"/>
                <w:lang w:val="en-US" w:eastAsia="zh-CN"/>
              </w:rPr>
            </w:pPr>
            <w:r>
              <w:rPr>
                <w:rFonts w:hint="eastAsia"/>
                <w:b/>
                <w:sz w:val="24"/>
                <w:szCs w:val="28"/>
                <w:lang w:val="en-US" w:eastAsia="zh-CN"/>
              </w:rPr>
              <w:t>80</w:t>
            </w:r>
          </w:p>
        </w:tc>
        <w:tc>
          <w:tcPr>
            <w:tcW w:w="891" w:type="pct"/>
            <w:shd w:val="clear" w:color="auto" w:fill="auto"/>
            <w:noWrap/>
            <w:vAlign w:val="center"/>
          </w:tcPr>
          <w:p w14:paraId="09F2345A">
            <w:pPr>
              <w:snapToGrid w:val="0"/>
              <w:spacing w:line="360" w:lineRule="auto"/>
              <w:jc w:val="center"/>
              <w:rPr>
                <w:rFonts w:hint="default" w:eastAsia="宋体"/>
                <w:b/>
                <w:sz w:val="24"/>
                <w:szCs w:val="28"/>
                <w:lang w:val="en-US" w:eastAsia="zh-CN"/>
              </w:rPr>
            </w:pPr>
            <w:r>
              <w:rPr>
                <w:rFonts w:hint="eastAsia"/>
                <w:b/>
                <w:sz w:val="24"/>
                <w:szCs w:val="28"/>
                <w:lang w:val="en-US" w:eastAsia="zh-CN"/>
              </w:rPr>
              <w:t>48</w:t>
            </w:r>
          </w:p>
        </w:tc>
        <w:tc>
          <w:tcPr>
            <w:tcW w:w="890" w:type="pct"/>
            <w:shd w:val="clear" w:color="auto" w:fill="auto"/>
            <w:noWrap/>
            <w:vAlign w:val="center"/>
          </w:tcPr>
          <w:p w14:paraId="2BCF1B97">
            <w:pPr>
              <w:snapToGrid w:val="0"/>
              <w:spacing w:line="360" w:lineRule="auto"/>
              <w:jc w:val="center"/>
              <w:rPr>
                <w:rFonts w:hint="default" w:eastAsia="宋体"/>
                <w:b/>
                <w:sz w:val="24"/>
                <w:szCs w:val="28"/>
                <w:lang w:val="en-US" w:eastAsia="zh-CN"/>
              </w:rPr>
            </w:pPr>
            <w:r>
              <w:rPr>
                <w:rFonts w:hint="eastAsia"/>
                <w:b/>
                <w:sz w:val="24"/>
                <w:szCs w:val="28"/>
                <w:lang w:val="en-US" w:eastAsia="zh-CN"/>
              </w:rPr>
              <w:t>37.50%</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891" w:type="pct"/>
            <w:shd w:val="clear" w:color="auto" w:fill="auto"/>
            <w:noWrap/>
            <w:vAlign w:val="center"/>
          </w:tcPr>
          <w:p w14:paraId="02581A08">
            <w:pPr>
              <w:snapToGrid w:val="0"/>
              <w:spacing w:line="360" w:lineRule="auto"/>
              <w:jc w:val="center"/>
              <w:rPr>
                <w:rFonts w:hint="default" w:eastAsia="宋体"/>
                <w:b/>
                <w:sz w:val="24"/>
                <w:szCs w:val="28"/>
                <w:lang w:val="en-US" w:eastAsia="zh-CN"/>
              </w:rPr>
            </w:pPr>
            <w:r>
              <w:rPr>
                <w:rFonts w:hint="eastAsia"/>
                <w:b/>
                <w:sz w:val="24"/>
                <w:szCs w:val="28"/>
                <w:lang w:val="en-US" w:eastAsia="zh-CN"/>
              </w:rPr>
              <w:t>288</w:t>
            </w:r>
          </w:p>
        </w:tc>
        <w:tc>
          <w:tcPr>
            <w:tcW w:w="891" w:type="pct"/>
            <w:shd w:val="clear" w:color="auto" w:fill="auto"/>
            <w:noWrap/>
            <w:vAlign w:val="center"/>
          </w:tcPr>
          <w:p w14:paraId="08EB559D">
            <w:pPr>
              <w:snapToGrid w:val="0"/>
              <w:spacing w:line="360" w:lineRule="auto"/>
              <w:jc w:val="center"/>
              <w:rPr>
                <w:rFonts w:hint="default" w:eastAsia="宋体"/>
                <w:b/>
                <w:sz w:val="24"/>
                <w:szCs w:val="28"/>
                <w:lang w:val="en-US" w:eastAsia="zh-CN"/>
              </w:rPr>
            </w:pPr>
            <w:r>
              <w:rPr>
                <w:rFonts w:hint="eastAsia"/>
                <w:b/>
                <w:sz w:val="24"/>
                <w:szCs w:val="28"/>
                <w:lang w:val="en-US" w:eastAsia="zh-CN"/>
              </w:rPr>
              <w:t>180</w:t>
            </w:r>
          </w:p>
        </w:tc>
        <w:tc>
          <w:tcPr>
            <w:tcW w:w="891" w:type="pct"/>
            <w:shd w:val="clear" w:color="auto" w:fill="auto"/>
            <w:noWrap/>
            <w:vAlign w:val="center"/>
          </w:tcPr>
          <w:p w14:paraId="47401E10">
            <w:pPr>
              <w:snapToGrid w:val="0"/>
              <w:spacing w:line="360" w:lineRule="auto"/>
              <w:jc w:val="center"/>
              <w:rPr>
                <w:rFonts w:hint="default" w:eastAsia="宋体"/>
                <w:b/>
                <w:sz w:val="24"/>
                <w:szCs w:val="28"/>
                <w:lang w:val="en-US" w:eastAsia="zh-CN"/>
              </w:rPr>
            </w:pPr>
            <w:r>
              <w:rPr>
                <w:rFonts w:hint="eastAsia"/>
                <w:b/>
                <w:sz w:val="24"/>
                <w:szCs w:val="28"/>
                <w:lang w:val="en-US" w:eastAsia="zh-CN"/>
              </w:rPr>
              <w:t>108</w:t>
            </w:r>
          </w:p>
        </w:tc>
        <w:tc>
          <w:tcPr>
            <w:tcW w:w="890" w:type="pct"/>
            <w:shd w:val="clear" w:color="auto" w:fill="auto"/>
            <w:noWrap/>
            <w:vAlign w:val="center"/>
          </w:tcPr>
          <w:p w14:paraId="01CE14DD">
            <w:pPr>
              <w:snapToGrid w:val="0"/>
              <w:spacing w:line="360" w:lineRule="auto"/>
              <w:jc w:val="center"/>
              <w:rPr>
                <w:rFonts w:hint="default" w:eastAsia="宋体"/>
                <w:b/>
                <w:sz w:val="24"/>
                <w:szCs w:val="28"/>
                <w:lang w:val="en-US" w:eastAsia="zh-CN"/>
              </w:rPr>
            </w:pPr>
            <w:r>
              <w:rPr>
                <w:rFonts w:hint="eastAsia"/>
                <w:b/>
                <w:sz w:val="24"/>
                <w:szCs w:val="28"/>
                <w:lang w:val="en-US" w:eastAsia="zh-CN"/>
              </w:rPr>
              <w:t>37.50%</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891" w:type="pct"/>
            <w:shd w:val="clear" w:color="auto" w:fill="auto"/>
            <w:noWrap/>
            <w:vAlign w:val="center"/>
          </w:tcPr>
          <w:p w14:paraId="6CB967B5">
            <w:pPr>
              <w:snapToGrid w:val="0"/>
              <w:spacing w:line="360" w:lineRule="auto"/>
              <w:jc w:val="center"/>
              <w:rPr>
                <w:rFonts w:hint="default" w:eastAsia="宋体"/>
                <w:b/>
                <w:sz w:val="24"/>
                <w:szCs w:val="28"/>
                <w:lang w:val="en-US" w:eastAsia="zh-CN"/>
              </w:rPr>
            </w:pPr>
            <w:r>
              <w:rPr>
                <w:rFonts w:hint="eastAsia"/>
                <w:b/>
                <w:sz w:val="24"/>
                <w:szCs w:val="28"/>
                <w:lang w:val="en-US" w:eastAsia="zh-CN"/>
              </w:rPr>
              <w:t>1056</w:t>
            </w:r>
          </w:p>
        </w:tc>
        <w:tc>
          <w:tcPr>
            <w:tcW w:w="891" w:type="pct"/>
            <w:shd w:val="clear" w:color="auto" w:fill="auto"/>
            <w:noWrap/>
            <w:vAlign w:val="center"/>
          </w:tcPr>
          <w:p w14:paraId="1FCC89AF">
            <w:pPr>
              <w:snapToGrid w:val="0"/>
              <w:spacing w:line="360" w:lineRule="auto"/>
              <w:jc w:val="center"/>
              <w:rPr>
                <w:rFonts w:hint="eastAsia" w:eastAsia="宋体"/>
                <w:b/>
                <w:sz w:val="24"/>
                <w:szCs w:val="28"/>
                <w:lang w:val="en-US" w:eastAsia="zh-CN"/>
              </w:rPr>
            </w:pPr>
            <w:r>
              <w:rPr>
                <w:rFonts w:hint="eastAsia"/>
                <w:b/>
                <w:sz w:val="24"/>
                <w:szCs w:val="28"/>
                <w:lang w:val="en-US" w:eastAsia="zh-CN"/>
              </w:rPr>
              <w:t>0</w:t>
            </w:r>
          </w:p>
        </w:tc>
        <w:tc>
          <w:tcPr>
            <w:tcW w:w="891" w:type="pct"/>
            <w:shd w:val="clear" w:color="auto" w:fill="auto"/>
            <w:noWrap/>
            <w:vAlign w:val="center"/>
          </w:tcPr>
          <w:p w14:paraId="04CACD07">
            <w:pPr>
              <w:snapToGrid w:val="0"/>
              <w:spacing w:line="360" w:lineRule="auto"/>
              <w:jc w:val="center"/>
              <w:rPr>
                <w:rFonts w:hint="default" w:eastAsia="宋体"/>
                <w:b/>
                <w:sz w:val="24"/>
                <w:szCs w:val="28"/>
                <w:lang w:val="en-US" w:eastAsia="zh-CN"/>
              </w:rPr>
            </w:pPr>
            <w:r>
              <w:rPr>
                <w:rFonts w:hint="eastAsia"/>
                <w:b/>
                <w:sz w:val="24"/>
                <w:szCs w:val="28"/>
                <w:lang w:val="en-US" w:eastAsia="zh-CN"/>
              </w:rPr>
              <w:t>1056</w:t>
            </w:r>
          </w:p>
        </w:tc>
        <w:tc>
          <w:tcPr>
            <w:tcW w:w="890" w:type="pct"/>
            <w:shd w:val="clear" w:color="auto" w:fill="auto"/>
            <w:noWrap/>
            <w:vAlign w:val="center"/>
          </w:tcPr>
          <w:p w14:paraId="73283FD6">
            <w:pPr>
              <w:snapToGrid w:val="0"/>
              <w:spacing w:line="360" w:lineRule="auto"/>
              <w:jc w:val="center"/>
              <w:rPr>
                <w:rFonts w:hint="default" w:eastAsia="宋体"/>
                <w:b/>
                <w:sz w:val="24"/>
                <w:szCs w:val="28"/>
                <w:lang w:val="en-US" w:eastAsia="zh-CN"/>
              </w:rPr>
            </w:pPr>
            <w:r>
              <w:rPr>
                <w:rFonts w:hint="eastAsia"/>
                <w:b/>
                <w:sz w:val="24"/>
                <w:szCs w:val="28"/>
                <w:lang w:val="en-US" w:eastAsia="zh-CN"/>
              </w:rPr>
              <w:t>100.00%</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891" w:type="pct"/>
            <w:shd w:val="clear" w:color="auto" w:fill="auto"/>
            <w:noWrap/>
            <w:vAlign w:val="center"/>
          </w:tcPr>
          <w:p w14:paraId="69C4A305">
            <w:pPr>
              <w:snapToGrid w:val="0"/>
              <w:spacing w:line="360" w:lineRule="auto"/>
              <w:jc w:val="center"/>
              <w:rPr>
                <w:b/>
                <w:sz w:val="24"/>
                <w:szCs w:val="28"/>
              </w:rPr>
            </w:pPr>
          </w:p>
        </w:tc>
        <w:tc>
          <w:tcPr>
            <w:tcW w:w="891" w:type="pct"/>
            <w:shd w:val="clear" w:color="auto" w:fill="auto"/>
            <w:noWrap/>
            <w:vAlign w:val="center"/>
          </w:tcPr>
          <w:p w14:paraId="37AED740">
            <w:pPr>
              <w:snapToGrid w:val="0"/>
              <w:spacing w:line="360" w:lineRule="auto"/>
              <w:jc w:val="center"/>
              <w:rPr>
                <w:b/>
                <w:sz w:val="24"/>
                <w:szCs w:val="28"/>
              </w:rPr>
            </w:pPr>
          </w:p>
        </w:tc>
        <w:tc>
          <w:tcPr>
            <w:tcW w:w="891" w:type="pct"/>
            <w:shd w:val="clear" w:color="auto" w:fill="auto"/>
            <w:noWrap/>
            <w:vAlign w:val="center"/>
          </w:tcPr>
          <w:p w14:paraId="49848352">
            <w:pPr>
              <w:snapToGrid w:val="0"/>
              <w:spacing w:line="360" w:lineRule="auto"/>
              <w:jc w:val="center"/>
              <w:rPr>
                <w:b/>
                <w:sz w:val="24"/>
                <w:szCs w:val="28"/>
              </w:rPr>
            </w:pPr>
          </w:p>
        </w:tc>
        <w:tc>
          <w:tcPr>
            <w:tcW w:w="890" w:type="pct"/>
            <w:shd w:val="clear" w:color="auto" w:fill="auto"/>
            <w:noWrap/>
            <w:vAlign w:val="center"/>
          </w:tcPr>
          <w:p w14:paraId="7BAECF28">
            <w:pPr>
              <w:snapToGrid w:val="0"/>
              <w:spacing w:line="360" w:lineRule="auto"/>
              <w:jc w:val="center"/>
              <w:rPr>
                <w:rFonts w:hint="eastAsia" w:ascii="宋体" w:hAnsi="宋体"/>
                <w:vanish/>
                <w:color w:val="FF0000"/>
                <w:sz w:val="24"/>
                <w:szCs w:val="22"/>
              </w:rPr>
            </w:pPr>
            <w:r>
              <w:rPr>
                <w:rFonts w:hint="eastAsia" w:ascii="宋体" w:hAnsi="宋体"/>
                <w:vanish/>
                <w:color w:val="FF0000"/>
                <w:sz w:val="24"/>
                <w:szCs w:val="22"/>
              </w:rPr>
              <w:t>要求＞</w:t>
            </w:r>
            <w:r>
              <w:rPr>
                <w:rFonts w:ascii="宋体" w:hAnsi="宋体"/>
                <w:vanish/>
                <w:color w:val="FF0000"/>
                <w:sz w:val="24"/>
                <w:szCs w:val="22"/>
              </w:rPr>
              <w:t>50%</w:t>
            </w:r>
          </w:p>
        </w:tc>
      </w:tr>
    </w:tbl>
    <w:p w14:paraId="6D0FFB44">
      <w:pPr>
        <w:widowControl/>
        <w:jc w:val="left"/>
        <w:rPr>
          <w:sz w:val="24"/>
        </w:rPr>
      </w:pPr>
      <w:r>
        <w:rPr>
          <w:sz w:val="24"/>
        </w:rPr>
        <w:br w:type="page"/>
      </w:r>
    </w:p>
    <w:p w14:paraId="70A48D54">
      <w:pPr>
        <w:pStyle w:val="3"/>
        <w:spacing w:line="360" w:lineRule="auto"/>
        <w:ind w:left="-2" w:leftChars="-2" w:hanging="2" w:hangingChars="1"/>
        <w:outlineLvl w:val="0"/>
        <w:rPr>
          <w:sz w:val="24"/>
          <w:szCs w:val="22"/>
        </w:rPr>
      </w:pPr>
      <w:bookmarkStart w:id="18" w:name="_Toc28625"/>
      <w:r>
        <w:t>教学计划进程表</w:t>
      </w:r>
      <w:bookmarkEnd w:id="18"/>
      <w:bookmarkStart w:id="19" w:name="_Toc422736381"/>
    </w:p>
    <w:p w14:paraId="7E1030E0">
      <w:pPr>
        <w:pStyle w:val="3"/>
        <w:numPr>
          <w:ilvl w:val="0"/>
          <w:numId w:val="0"/>
        </w:numPr>
        <w:spacing w:line="360" w:lineRule="auto"/>
        <w:ind w:left="-6" w:leftChars="-3" w:firstLine="0" w:firstLineChars="0"/>
        <w:jc w:val="center"/>
        <w:outlineLvl w:val="9"/>
        <w:rPr>
          <w:rFonts w:hint="eastAsia"/>
          <w:vanish/>
          <w:color w:val="FF0000"/>
          <w:sz w:val="24"/>
          <w:szCs w:val="22"/>
        </w:rPr>
      </w:pPr>
      <w:r>
        <w:drawing>
          <wp:inline distT="0" distB="0" distL="114300" distR="114300">
            <wp:extent cx="5175885" cy="8742045"/>
            <wp:effectExtent l="0" t="0" r="5715" b="57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a:stretch>
                      <a:fillRect/>
                    </a:stretch>
                  </pic:blipFill>
                  <pic:spPr>
                    <a:xfrm>
                      <a:off x="0" y="0"/>
                      <a:ext cx="5175885" cy="8742045"/>
                    </a:xfrm>
                    <a:prstGeom prst="rect">
                      <a:avLst/>
                    </a:prstGeom>
                    <a:noFill/>
                    <a:ln>
                      <a:noFill/>
                    </a:ln>
                  </pic:spPr>
                </pic:pic>
              </a:graphicData>
            </a:graphic>
          </wp:inline>
        </w:drawing>
      </w:r>
    </w:p>
    <w:p w14:paraId="6B0BF0E2">
      <w:pPr>
        <w:pStyle w:val="3"/>
        <w:numPr>
          <w:ilvl w:val="0"/>
          <w:numId w:val="0"/>
        </w:numPr>
        <w:spacing w:line="360" w:lineRule="auto"/>
        <w:ind w:left="-6" w:leftChars="-3" w:firstLine="0" w:firstLineChars="0"/>
        <w:outlineLvl w:val="9"/>
        <w:rPr>
          <w:rFonts w:hint="eastAsia"/>
          <w:vanish/>
          <w:color w:val="FF0000"/>
          <w:sz w:val="24"/>
          <w:szCs w:val="22"/>
        </w:rPr>
      </w:pPr>
    </w:p>
    <w:p w14:paraId="35241A91">
      <w:pPr>
        <w:pStyle w:val="3"/>
        <w:numPr>
          <w:ilvl w:val="0"/>
          <w:numId w:val="0"/>
        </w:numPr>
        <w:spacing w:line="360" w:lineRule="auto"/>
        <w:ind w:left="-6" w:leftChars="-3" w:firstLine="0" w:firstLineChars="0"/>
        <w:outlineLvl w:val="9"/>
        <w:rPr>
          <w:rFonts w:hint="eastAsia"/>
          <w:vanish/>
          <w:color w:val="FF0000"/>
          <w:sz w:val="24"/>
          <w:szCs w:val="22"/>
        </w:rPr>
      </w:pPr>
    </w:p>
    <w:p w14:paraId="22DEA5FB">
      <w:pPr>
        <w:pStyle w:val="3"/>
        <w:numPr>
          <w:ilvl w:val="0"/>
          <w:numId w:val="0"/>
        </w:numPr>
        <w:spacing w:line="360" w:lineRule="auto"/>
        <w:ind w:left="-6" w:leftChars="-3" w:firstLine="0" w:firstLineChars="0"/>
        <w:outlineLvl w:val="9"/>
        <w:rPr>
          <w:rFonts w:hint="eastAsia"/>
          <w:vanish/>
          <w:color w:val="FF0000"/>
          <w:sz w:val="24"/>
          <w:szCs w:val="22"/>
        </w:rPr>
      </w:pPr>
    </w:p>
    <w:p w14:paraId="5C4A4853">
      <w:pPr>
        <w:pStyle w:val="3"/>
        <w:numPr>
          <w:ilvl w:val="0"/>
          <w:numId w:val="0"/>
        </w:numPr>
        <w:spacing w:line="360" w:lineRule="auto"/>
        <w:ind w:left="-6" w:leftChars="-3" w:firstLine="0" w:firstLineChars="0"/>
        <w:outlineLvl w:val="9"/>
        <w:rPr>
          <w:sz w:val="24"/>
          <w:szCs w:val="22"/>
        </w:rPr>
      </w:pPr>
      <w:r>
        <w:rPr>
          <w:rFonts w:hint="eastAsia"/>
          <w:vanish/>
          <w:color w:val="FF0000"/>
          <w:sz w:val="24"/>
          <w:szCs w:val="22"/>
        </w:rPr>
        <w:t>在excel表中计算后复制粘贴进来）</w:t>
      </w:r>
    </w:p>
    <w:bookmarkEnd w:id="19"/>
    <w:p w14:paraId="39A7FEDA">
      <w:pPr>
        <w:pStyle w:val="3"/>
        <w:spacing w:line="360" w:lineRule="auto"/>
        <w:ind w:left="-2" w:leftChars="-2" w:hanging="2" w:hangingChars="1"/>
        <w:outlineLvl w:val="0"/>
      </w:pPr>
      <w:bookmarkStart w:id="20" w:name="_Toc30032"/>
      <w:bookmarkStart w:id="21" w:name="OLE_LINK2"/>
      <w:bookmarkStart w:id="22" w:name="OLE_LINK3"/>
      <w:r>
        <w:t>实施保障</w:t>
      </w:r>
      <w:bookmarkEnd w:id="20"/>
    </w:p>
    <w:p w14:paraId="084C3AC2">
      <w:pPr>
        <w:pStyle w:val="4"/>
        <w:spacing w:line="360" w:lineRule="auto"/>
        <w:ind w:firstLine="482" w:firstLineChars="200"/>
        <w:outlineLvl w:val="1"/>
        <w:rPr>
          <w:rFonts w:hint="eastAsia"/>
          <w:w w:val="99"/>
        </w:rPr>
      </w:pPr>
      <w:bookmarkStart w:id="23" w:name="_bookmark14"/>
      <w:bookmarkEnd w:id="23"/>
      <w:bookmarkStart w:id="24" w:name="_Toc16156"/>
      <w:r>
        <w:t>（一）师资队伍</w:t>
      </w:r>
      <w:bookmarkEnd w:id="24"/>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outlineLvl w:val="2"/>
        <w:rPr>
          <w:b/>
          <w:bCs/>
          <w:sz w:val="24"/>
        </w:rPr>
      </w:pPr>
      <w:bookmarkStart w:id="25" w:name="_Toc17362"/>
      <w:r>
        <w:rPr>
          <w:b/>
          <w:bCs/>
          <w:sz w:val="24"/>
        </w:rPr>
        <w:t>1</w:t>
      </w:r>
      <w:r>
        <w:rPr>
          <w:rFonts w:hint="eastAsia"/>
          <w:b/>
          <w:bCs/>
          <w:sz w:val="24"/>
        </w:rPr>
        <w:t>.</w:t>
      </w:r>
      <w:r>
        <w:rPr>
          <w:b/>
          <w:bCs/>
          <w:sz w:val="24"/>
        </w:rPr>
        <w:t>队伍结构</w:t>
      </w:r>
      <w:bookmarkEnd w:id="25"/>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outlineLvl w:val="2"/>
        <w:rPr>
          <w:b/>
          <w:bCs/>
          <w:sz w:val="24"/>
        </w:rPr>
      </w:pPr>
      <w:bookmarkStart w:id="26" w:name="_Toc31890"/>
      <w:r>
        <w:rPr>
          <w:b/>
          <w:bCs/>
          <w:sz w:val="24"/>
        </w:rPr>
        <w:t>2</w:t>
      </w:r>
      <w:r>
        <w:rPr>
          <w:rFonts w:hint="eastAsia"/>
          <w:b/>
          <w:bCs/>
          <w:sz w:val="24"/>
        </w:rPr>
        <w:t>.</w:t>
      </w:r>
      <w:r>
        <w:rPr>
          <w:b/>
          <w:bCs/>
          <w:sz w:val="24"/>
        </w:rPr>
        <w:t>专业带头人</w:t>
      </w:r>
      <w:bookmarkEnd w:id="26"/>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outlineLvl w:val="2"/>
        <w:rPr>
          <w:b/>
          <w:bCs/>
          <w:sz w:val="24"/>
        </w:rPr>
      </w:pPr>
      <w:bookmarkStart w:id="27" w:name="_Toc30231"/>
      <w:r>
        <w:rPr>
          <w:b/>
          <w:bCs/>
          <w:sz w:val="24"/>
        </w:rPr>
        <w:t>3</w:t>
      </w:r>
      <w:r>
        <w:rPr>
          <w:rFonts w:hint="eastAsia"/>
          <w:b/>
          <w:bCs/>
          <w:sz w:val="24"/>
        </w:rPr>
        <w:t>.</w:t>
      </w:r>
      <w:r>
        <w:rPr>
          <w:b/>
          <w:bCs/>
          <w:sz w:val="24"/>
        </w:rPr>
        <w:t>专任教师</w:t>
      </w:r>
      <w:bookmarkEnd w:id="27"/>
    </w:p>
    <w:p w14:paraId="103F3439">
      <w:pPr>
        <w:snapToGrid w:val="0"/>
        <w:spacing w:line="360" w:lineRule="auto"/>
        <w:ind w:firstLine="480" w:firstLineChars="200"/>
        <w:contextualSpacing/>
        <w:rPr>
          <w:rFonts w:hint="eastAsia"/>
          <w:sz w:val="24"/>
        </w:rPr>
      </w:pPr>
      <w:r>
        <w:rPr>
          <w:rFonts w:hint="eastAsia"/>
          <w:sz w:val="24"/>
        </w:rPr>
        <w:t>具有高校教师资格；原则上具有新能源汽车工程、新能源汽车工程技术、汽车工程技术、电气工程及自动化、车辆工程、汽车服务工程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 1 个月在企业或生产性实训基地锻炼，每 5 年累计不少于 6 个月的企业实践经历。</w:t>
      </w:r>
    </w:p>
    <w:p w14:paraId="203704CD">
      <w:pPr>
        <w:snapToGrid w:val="0"/>
        <w:spacing w:line="360" w:lineRule="auto"/>
        <w:ind w:firstLine="482" w:firstLineChars="200"/>
        <w:contextualSpacing/>
        <w:outlineLvl w:val="2"/>
        <w:rPr>
          <w:b/>
          <w:bCs/>
          <w:sz w:val="24"/>
        </w:rPr>
      </w:pPr>
      <w:bookmarkStart w:id="28" w:name="_Toc29928"/>
      <w:r>
        <w:rPr>
          <w:b/>
          <w:bCs/>
          <w:sz w:val="24"/>
        </w:rPr>
        <w:t>4</w:t>
      </w:r>
      <w:r>
        <w:rPr>
          <w:rFonts w:hint="eastAsia"/>
          <w:b/>
          <w:bCs/>
          <w:sz w:val="24"/>
          <w:lang w:val="en-US" w:eastAsia="zh-CN"/>
        </w:rPr>
        <w:t>.</w:t>
      </w:r>
      <w:r>
        <w:rPr>
          <w:b/>
          <w:bCs/>
          <w:sz w:val="24"/>
        </w:rPr>
        <w:t>兼职教师</w:t>
      </w:r>
      <w:bookmarkEnd w:id="28"/>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ind w:firstLine="482" w:firstLineChars="200"/>
        <w:outlineLvl w:val="1"/>
        <w:rPr>
          <w:rFonts w:hint="eastAsia"/>
          <w:w w:val="99"/>
        </w:rPr>
      </w:pPr>
      <w:bookmarkStart w:id="29" w:name="_bookmark15"/>
      <w:bookmarkEnd w:id="29"/>
      <w:bookmarkStart w:id="30" w:name="_Toc29258"/>
      <w:r>
        <w:t>（二）教学设施</w:t>
      </w:r>
      <w:r>
        <w:rPr>
          <w:rFonts w:hint="eastAsia"/>
          <w:vanish/>
          <w:color w:val="FF0000"/>
        </w:rPr>
        <w:t>（参照教育部标准）</w:t>
      </w:r>
      <w:bookmarkEnd w:id="30"/>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outlineLvl w:val="2"/>
        <w:rPr>
          <w:b/>
          <w:bCs/>
          <w:sz w:val="24"/>
        </w:rPr>
      </w:pPr>
      <w:bookmarkStart w:id="31" w:name="_Toc6355"/>
      <w:r>
        <w:rPr>
          <w:b/>
          <w:bCs/>
          <w:sz w:val="24"/>
        </w:rPr>
        <w:t>1.专业教室基本要求</w:t>
      </w:r>
      <w:bookmarkEnd w:id="31"/>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outlineLvl w:val="2"/>
        <w:rPr>
          <w:b/>
          <w:bCs/>
          <w:sz w:val="24"/>
        </w:rPr>
      </w:pPr>
      <w:bookmarkStart w:id="32" w:name="_Toc25752"/>
      <w:r>
        <w:rPr>
          <w:b/>
          <w:bCs/>
          <w:sz w:val="24"/>
        </w:rPr>
        <w:t>2.校内外实验、实训场所基本要求</w:t>
      </w:r>
      <w:bookmarkEnd w:id="32"/>
    </w:p>
    <w:p w14:paraId="2CA91C19">
      <w:pPr>
        <w:snapToGrid w:val="0"/>
        <w:spacing w:line="360" w:lineRule="auto"/>
        <w:ind w:firstLine="480" w:firstLineChars="200"/>
        <w:contextualSpacing/>
        <w:rPr>
          <w:sz w:val="24"/>
        </w:rPr>
      </w:pPr>
      <w:r>
        <w:rPr>
          <w:rFonts w:hint="eastAsia"/>
          <w:sz w:val="24"/>
        </w:rPr>
        <w:t>实验、实训场所面积、设备设施、安全、环境、管理等符合教育部有关标准（规定、办法），实验、实训环境与设备设施对接真实职业场景或工作情境，实训项目注重工学结合、理实一体化，实验、实训指导教师配备合理，实验、实训管理及实施规章制度齐全，确保能够顺利开展新能源汽车电气系统、新能源汽车底盘系统、新能源汽车动力蓄电池及管理系统、新能源汽车驱动电机及控制系统、新能源汽车充电控制系统、新能源汽车整车控制系统等的装调、性能测试及检修等实验、实训活动。鼓励在实训中运用大数据、云计算、人工智能、虚拟仿真等前沿信息技术。</w:t>
      </w:r>
    </w:p>
    <w:p w14:paraId="710B2054">
      <w:pPr>
        <w:snapToGrid w:val="0"/>
        <w:spacing w:line="360" w:lineRule="auto"/>
        <w:ind w:firstLine="480" w:firstLineChars="200"/>
        <w:contextualSpacing/>
        <w:outlineLvl w:val="3"/>
        <w:rPr>
          <w:rFonts w:hint="eastAsia"/>
          <w:sz w:val="24"/>
        </w:rPr>
      </w:pPr>
      <w:r>
        <w:rPr>
          <w:rFonts w:hint="eastAsia"/>
          <w:sz w:val="24"/>
        </w:rPr>
        <w:t>（1）新能源汽车电力电子实验室</w:t>
      </w:r>
    </w:p>
    <w:p w14:paraId="267BA92B">
      <w:pPr>
        <w:snapToGrid w:val="0"/>
        <w:spacing w:line="360" w:lineRule="auto"/>
        <w:ind w:firstLine="480" w:firstLineChars="200"/>
        <w:contextualSpacing/>
        <w:rPr>
          <w:rFonts w:hint="eastAsia"/>
          <w:sz w:val="24"/>
        </w:rPr>
      </w:pPr>
      <w:r>
        <w:rPr>
          <w:rFonts w:hint="eastAsia"/>
          <w:sz w:val="24"/>
        </w:rPr>
        <w:t>配备汽车传感器及执行器模块、电工电子实验台等设备设施，用于新能源汽车电力电子技术等课程常用基础电子元器件的原理实验和汽车基础电路实验等实验教学。</w:t>
      </w:r>
    </w:p>
    <w:p w14:paraId="6802E220">
      <w:pPr>
        <w:snapToGrid w:val="0"/>
        <w:spacing w:line="360" w:lineRule="auto"/>
        <w:ind w:firstLine="480" w:firstLineChars="200"/>
        <w:contextualSpacing/>
        <w:outlineLvl w:val="3"/>
        <w:rPr>
          <w:rFonts w:hint="eastAsia"/>
          <w:sz w:val="24"/>
        </w:rPr>
      </w:pPr>
      <w:r>
        <w:rPr>
          <w:rFonts w:hint="eastAsia"/>
          <w:sz w:val="24"/>
        </w:rPr>
        <w:t>（2）新能源汽车电气技术实训室</w:t>
      </w:r>
    </w:p>
    <w:p w14:paraId="548240AC">
      <w:pPr>
        <w:snapToGrid w:val="0"/>
        <w:spacing w:line="360" w:lineRule="auto"/>
        <w:ind w:firstLine="480" w:firstLineChars="200"/>
        <w:contextualSpacing/>
        <w:rPr>
          <w:rFonts w:hint="eastAsia"/>
          <w:sz w:val="24"/>
        </w:rPr>
      </w:pPr>
      <w:r>
        <w:rPr>
          <w:rFonts w:hint="eastAsia"/>
          <w:sz w:val="24"/>
        </w:rPr>
        <w:t>配备新能源汽车整车或电气系统台架等设备设施，用于新能源汽车电气技术课程的照明信号、车窗刮水器、仪表防盗、舒适登车与启动、暖风空调、热管理系统的装调、性能测试与检修等实训教学。</w:t>
      </w:r>
    </w:p>
    <w:p w14:paraId="708DFCF4">
      <w:pPr>
        <w:snapToGrid w:val="0"/>
        <w:spacing w:line="360" w:lineRule="auto"/>
        <w:ind w:firstLine="480" w:firstLineChars="200"/>
        <w:contextualSpacing/>
        <w:outlineLvl w:val="3"/>
        <w:rPr>
          <w:rFonts w:hint="eastAsia"/>
          <w:sz w:val="24"/>
        </w:rPr>
      </w:pPr>
      <w:r>
        <w:rPr>
          <w:rFonts w:hint="eastAsia"/>
          <w:sz w:val="24"/>
        </w:rPr>
        <w:t>（3）新能源汽车动力蓄电池及管理技术实训室</w:t>
      </w:r>
    </w:p>
    <w:p w14:paraId="55730DAC">
      <w:pPr>
        <w:snapToGrid w:val="0"/>
        <w:spacing w:line="360" w:lineRule="auto"/>
        <w:ind w:firstLine="480" w:firstLineChars="200"/>
        <w:contextualSpacing/>
        <w:rPr>
          <w:rFonts w:hint="eastAsia"/>
          <w:sz w:val="24"/>
        </w:rPr>
      </w:pPr>
      <w:r>
        <w:rPr>
          <w:rFonts w:hint="eastAsia"/>
          <w:sz w:val="24"/>
        </w:rPr>
        <w:t>配备新能源汽车整车、动力蓄电池及管理系统台架、举升机、动力蓄电池升降平台等设备设施，用于新能源汽车动力蓄电池及管理技术课程的动力蓄电池总成及管理系统的装配与调试、性能测试与检修等实训教学。</w:t>
      </w:r>
    </w:p>
    <w:p w14:paraId="179A0DEC">
      <w:pPr>
        <w:snapToGrid w:val="0"/>
        <w:spacing w:line="360" w:lineRule="auto"/>
        <w:ind w:firstLine="480" w:firstLineChars="200"/>
        <w:contextualSpacing/>
        <w:outlineLvl w:val="3"/>
        <w:rPr>
          <w:rFonts w:hint="eastAsia"/>
          <w:sz w:val="24"/>
        </w:rPr>
      </w:pPr>
      <w:r>
        <w:rPr>
          <w:rFonts w:hint="eastAsia"/>
          <w:sz w:val="24"/>
        </w:rPr>
        <w:t>（4）新能源汽车驱动电机及控制技术实训室</w:t>
      </w:r>
    </w:p>
    <w:p w14:paraId="0F9CA905">
      <w:pPr>
        <w:snapToGrid w:val="0"/>
        <w:spacing w:line="360" w:lineRule="auto"/>
        <w:ind w:firstLine="480" w:firstLineChars="200"/>
        <w:contextualSpacing/>
        <w:rPr>
          <w:rFonts w:hint="eastAsia"/>
          <w:sz w:val="24"/>
        </w:rPr>
      </w:pPr>
      <w:r>
        <w:rPr>
          <w:rFonts w:hint="eastAsia"/>
          <w:sz w:val="24"/>
        </w:rPr>
        <w:t>配备新能源汽车整车、驱动电机及控制系统台架、新能源汽车减速驱动桥总成、举升机等设备设施，用于新能源汽车驱动电机及控制技术课程的不同类型电机/变频器总成及整车、混合动力变速器/传动桥总成、驱动电机及控制系统的装调、性能测试与检修等实训教学。</w:t>
      </w:r>
    </w:p>
    <w:p w14:paraId="59849414">
      <w:pPr>
        <w:snapToGrid w:val="0"/>
        <w:spacing w:line="360" w:lineRule="auto"/>
        <w:ind w:firstLine="480" w:firstLineChars="200"/>
        <w:contextualSpacing/>
        <w:outlineLvl w:val="3"/>
        <w:rPr>
          <w:rFonts w:hint="eastAsia"/>
          <w:sz w:val="24"/>
        </w:rPr>
      </w:pPr>
      <w:r>
        <w:rPr>
          <w:rFonts w:hint="eastAsia"/>
          <w:sz w:val="24"/>
        </w:rPr>
        <w:t>（5）新能源汽车底盘技术实训室</w:t>
      </w:r>
    </w:p>
    <w:p w14:paraId="35DC5FC0">
      <w:pPr>
        <w:snapToGrid w:val="0"/>
        <w:spacing w:line="360" w:lineRule="auto"/>
        <w:ind w:firstLine="480" w:firstLineChars="200"/>
        <w:contextualSpacing/>
        <w:rPr>
          <w:rFonts w:hint="eastAsia"/>
          <w:sz w:val="24"/>
        </w:rPr>
      </w:pPr>
      <w:r>
        <w:rPr>
          <w:rFonts w:hint="eastAsia"/>
          <w:sz w:val="24"/>
        </w:rPr>
        <w:t>配备新能源汽车整车、新能源汽车制动系统台架、新能源汽车转向系统台架、新能源汽车行驶系统台架等设备设施，用于新能源汽车底盘技术课程的制动系统、电控转向系统、电控悬架系统、底盘控制系统的装调、性能测试与检修等实训教学。</w:t>
      </w:r>
    </w:p>
    <w:p w14:paraId="2EEC5F69">
      <w:pPr>
        <w:snapToGrid w:val="0"/>
        <w:spacing w:line="360" w:lineRule="auto"/>
        <w:ind w:firstLine="480" w:firstLineChars="200"/>
        <w:contextualSpacing/>
        <w:outlineLvl w:val="3"/>
        <w:rPr>
          <w:rFonts w:hint="eastAsia"/>
          <w:sz w:val="24"/>
        </w:rPr>
      </w:pPr>
      <w:r>
        <w:rPr>
          <w:rFonts w:hint="eastAsia"/>
          <w:sz w:val="24"/>
        </w:rPr>
        <w:t>（6）新能源汽车故障诊断技术实训室</w:t>
      </w:r>
    </w:p>
    <w:p w14:paraId="449D4EBE">
      <w:pPr>
        <w:snapToGrid w:val="0"/>
        <w:spacing w:line="360" w:lineRule="auto"/>
        <w:ind w:firstLine="480" w:firstLineChars="200"/>
        <w:contextualSpacing/>
        <w:rPr>
          <w:rFonts w:hint="eastAsia"/>
          <w:sz w:val="24"/>
        </w:rPr>
      </w:pPr>
      <w:r>
        <w:rPr>
          <w:rFonts w:hint="eastAsia"/>
          <w:sz w:val="24"/>
        </w:rPr>
        <w:t>配备纯电动汽车整车、混合动力汽车整车、举升机等设备设施，用于新能源汽车故障诊断技术课程的车载网络控制系统、整车电源管理系统、混合动力发动机电控系统的装调、性能测试与检修等实训教学。</w:t>
      </w:r>
    </w:p>
    <w:p w14:paraId="0427CC93">
      <w:pPr>
        <w:snapToGrid w:val="0"/>
        <w:spacing w:line="360" w:lineRule="auto"/>
        <w:ind w:firstLine="480" w:firstLineChars="200"/>
        <w:contextualSpacing/>
        <w:outlineLvl w:val="3"/>
        <w:rPr>
          <w:rFonts w:hint="eastAsia"/>
          <w:sz w:val="24"/>
        </w:rPr>
      </w:pPr>
      <w:r>
        <w:rPr>
          <w:rFonts w:hint="eastAsia"/>
          <w:sz w:val="24"/>
        </w:rPr>
        <w:t>（7）新能源汽车虚拟仿真实训室（可选）</w:t>
      </w:r>
    </w:p>
    <w:p w14:paraId="5BA424BC">
      <w:pPr>
        <w:snapToGrid w:val="0"/>
        <w:spacing w:line="360" w:lineRule="auto"/>
        <w:ind w:firstLine="480" w:firstLineChars="200"/>
        <w:contextualSpacing/>
        <w:rPr>
          <w:rFonts w:hint="eastAsia"/>
          <w:sz w:val="24"/>
        </w:rPr>
      </w:pPr>
      <w:r>
        <w:rPr>
          <w:rFonts w:hint="eastAsia"/>
          <w:sz w:val="24"/>
        </w:rPr>
        <w:t>配备机房、新能源汽车虚拟仿真教学软件等设备设施，用于新能源汽车动力蓄电池及管理技术、新能源汽车驱动电机及控制技术、新能源汽车底盘系统技术、新能源汽车故障诊断技术等课程的工作原理、整车及各总成的装调、性能测试与检修等实训教学。</w:t>
      </w:r>
    </w:p>
    <w:p w14:paraId="3029FDBC">
      <w:pPr>
        <w:snapToGrid w:val="0"/>
        <w:spacing w:line="360" w:lineRule="auto"/>
        <w:ind w:firstLine="480" w:firstLineChars="200"/>
        <w:contextualSpacing/>
        <w:rPr>
          <w:rFonts w:hint="eastAsia"/>
          <w:sz w:val="24"/>
        </w:rPr>
      </w:pPr>
      <w:r>
        <w:rPr>
          <w:rFonts w:hint="eastAsia"/>
          <w:sz w:val="24"/>
        </w:rPr>
        <w:t>可结合实际建设综合性实训场所。</w:t>
      </w:r>
    </w:p>
    <w:p w14:paraId="406B6D15">
      <w:pPr>
        <w:snapToGrid w:val="0"/>
        <w:spacing w:line="360" w:lineRule="auto"/>
        <w:ind w:firstLine="482" w:firstLineChars="200"/>
        <w:contextualSpacing/>
        <w:outlineLvl w:val="2"/>
        <w:rPr>
          <w:b/>
          <w:bCs/>
          <w:sz w:val="24"/>
        </w:rPr>
      </w:pPr>
      <w:bookmarkStart w:id="33" w:name="_Toc12508"/>
      <w:r>
        <w:rPr>
          <w:b/>
          <w:bCs/>
          <w:sz w:val="24"/>
        </w:rPr>
        <w:t>3</w:t>
      </w:r>
      <w:r>
        <w:rPr>
          <w:rFonts w:hint="eastAsia"/>
          <w:b/>
          <w:bCs/>
          <w:sz w:val="24"/>
        </w:rPr>
        <w:t>.</w:t>
      </w:r>
      <w:r>
        <w:rPr>
          <w:b/>
          <w:bCs/>
          <w:sz w:val="24"/>
        </w:rPr>
        <w:t>实习场所基本要求</w:t>
      </w:r>
      <w:bookmarkEnd w:id="33"/>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3816B2C4">
      <w:pPr>
        <w:pStyle w:val="7"/>
        <w:spacing w:after="0" w:line="360" w:lineRule="auto"/>
        <w:ind w:firstLine="464" w:firstLineChars="200"/>
        <w:rPr>
          <w:rFonts w:hint="eastAsia" w:ascii="宋体" w:hAnsi="宋体" w:cs="仿宋"/>
          <w:spacing w:val="-4"/>
          <w:sz w:val="24"/>
        </w:rPr>
      </w:pPr>
      <w:r>
        <w:rPr>
          <w:rFonts w:hint="eastAsia" w:ascii="宋体" w:hAnsi="宋体" w:cs="仿宋"/>
          <w:spacing w:val="-4"/>
          <w:sz w:val="24"/>
        </w:rPr>
        <w:t>根据本专业人才培养的需要和未来就业需求，实习基地应能提供新能源汽车整车及关键零部件装调、检测与质量检验等与专业对口的相关实习岗位，能涵盖当前相关产业发展的主流技术，可接纳一定规模的学生实习；学校和实习单位双方共同制订实习计划，能够配备相应数量的指导教师对学生实习进行指导和管理，实习单位安排有经验的技术或管理人员担任实习指导教师，开展专业教学和职业技能训练，完成实习质量评价，做好学生实习服务和管理工作，有保证实习学生日常工作、学习、生活的规章制度，有安全、保险保障，依法依规保障学生的基本权益。</w:t>
      </w:r>
    </w:p>
    <w:p w14:paraId="2EE90004">
      <w:pPr>
        <w:pStyle w:val="4"/>
        <w:spacing w:line="360" w:lineRule="auto"/>
        <w:ind w:firstLine="482" w:firstLineChars="200"/>
        <w:outlineLvl w:val="1"/>
        <w:rPr>
          <w:rFonts w:hint="eastAsia"/>
        </w:rPr>
      </w:pPr>
      <w:bookmarkStart w:id="34" w:name="_bookmark16"/>
      <w:bookmarkEnd w:id="34"/>
      <w:bookmarkStart w:id="35" w:name="_Toc13389"/>
      <w:r>
        <w:t>（三）教学资源</w:t>
      </w:r>
      <w:bookmarkEnd w:id="35"/>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outlineLvl w:val="2"/>
        <w:rPr>
          <w:b/>
          <w:bCs/>
          <w:sz w:val="24"/>
        </w:rPr>
      </w:pPr>
      <w:bookmarkStart w:id="36" w:name="_Toc19570"/>
      <w:r>
        <w:rPr>
          <w:b/>
          <w:bCs/>
          <w:sz w:val="24"/>
        </w:rPr>
        <w:t>1</w:t>
      </w:r>
      <w:r>
        <w:rPr>
          <w:rFonts w:hint="eastAsia"/>
          <w:b/>
          <w:bCs/>
          <w:sz w:val="24"/>
        </w:rPr>
        <w:t>.</w:t>
      </w:r>
      <w:r>
        <w:rPr>
          <w:b/>
          <w:bCs/>
          <w:sz w:val="24"/>
        </w:rPr>
        <w:t>教材选用基本要求</w:t>
      </w:r>
      <w:bookmarkEnd w:id="36"/>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outlineLvl w:val="2"/>
        <w:rPr>
          <w:b/>
          <w:bCs/>
          <w:sz w:val="24"/>
        </w:rPr>
      </w:pPr>
      <w:bookmarkStart w:id="37" w:name="_Toc19208"/>
      <w:r>
        <w:rPr>
          <w:b/>
          <w:bCs/>
          <w:sz w:val="24"/>
        </w:rPr>
        <w:t>2.图书文献配备基本要求</w:t>
      </w:r>
      <w:bookmarkEnd w:id="37"/>
    </w:p>
    <w:p w14:paraId="2D2CA62E">
      <w:pPr>
        <w:snapToGrid w:val="0"/>
        <w:spacing w:line="360" w:lineRule="auto"/>
        <w:ind w:firstLine="480" w:firstLineChars="200"/>
        <w:contextualSpacing/>
        <w:rPr>
          <w:sz w:val="24"/>
        </w:rPr>
      </w:pPr>
      <w:r>
        <w:rPr>
          <w:rFonts w:hint="eastAsia"/>
          <w:sz w:val="24"/>
        </w:rPr>
        <w:t>图书文献配备能满足人才培养、专业建设、教科研等工作的需要。专业类图书文献主要包括：新能源汽车制造行业政策法规、新能源汽车国家标准和行业标准、汽车工程手册、电动汽车工程手册、汽车设计手册、新能源汽车行业试验及检测方法标准、机械工程国家标准等机械工程师必备手册资料，新能源汽车技术专业学术期刊和有关汽车新能源汽车技术专业的实务案例类图书等。及时配置新经济、新技术、新工艺、新材料、新管理方式、新服务方式等相关的图书文献。</w:t>
      </w:r>
    </w:p>
    <w:p w14:paraId="24F00E6D">
      <w:pPr>
        <w:snapToGrid w:val="0"/>
        <w:spacing w:line="360" w:lineRule="auto"/>
        <w:ind w:firstLine="482" w:firstLineChars="200"/>
        <w:contextualSpacing/>
        <w:outlineLvl w:val="2"/>
        <w:rPr>
          <w:b/>
          <w:bCs/>
          <w:sz w:val="24"/>
        </w:rPr>
      </w:pPr>
      <w:bookmarkStart w:id="38" w:name="_Toc12007"/>
      <w:r>
        <w:rPr>
          <w:b/>
          <w:bCs/>
          <w:sz w:val="24"/>
        </w:rPr>
        <w:t>3</w:t>
      </w:r>
      <w:r>
        <w:rPr>
          <w:rFonts w:hint="eastAsia"/>
          <w:b/>
          <w:bCs/>
          <w:sz w:val="24"/>
        </w:rPr>
        <w:t>.</w:t>
      </w:r>
      <w:r>
        <w:rPr>
          <w:b/>
          <w:bCs/>
          <w:sz w:val="24"/>
        </w:rPr>
        <w:t>数字教学资源配置基本要求</w:t>
      </w:r>
      <w:bookmarkEnd w:id="38"/>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ind w:left="-2" w:leftChars="-2" w:hanging="2" w:hangingChars="1"/>
        <w:outlineLvl w:val="0"/>
      </w:pPr>
      <w:bookmarkStart w:id="39" w:name="_Toc1626"/>
      <w:r>
        <w:t>质量保障和毕业要求</w:t>
      </w:r>
      <w:bookmarkEnd w:id="39"/>
    </w:p>
    <w:p w14:paraId="7E8EF5A3">
      <w:pPr>
        <w:snapToGrid w:val="0"/>
        <w:spacing w:line="360" w:lineRule="auto"/>
        <w:ind w:firstLine="482" w:firstLineChars="200"/>
        <w:contextualSpacing/>
        <w:outlineLvl w:val="1"/>
        <w:rPr>
          <w:b/>
          <w:bCs/>
          <w:sz w:val="24"/>
        </w:rPr>
      </w:pPr>
      <w:bookmarkStart w:id="40" w:name="_Toc20733"/>
      <w:r>
        <w:rPr>
          <w:b/>
          <w:bCs/>
          <w:sz w:val="24"/>
        </w:rPr>
        <w:t>1</w:t>
      </w:r>
      <w:r>
        <w:rPr>
          <w:rFonts w:hint="eastAsia"/>
          <w:b/>
          <w:bCs/>
          <w:sz w:val="24"/>
        </w:rPr>
        <w:t>.</w:t>
      </w:r>
      <w:r>
        <w:rPr>
          <w:b/>
          <w:bCs/>
          <w:sz w:val="24"/>
        </w:rPr>
        <w:t>质量保障</w:t>
      </w:r>
      <w:bookmarkEnd w:id="40"/>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outlineLvl w:val="1"/>
        <w:rPr>
          <w:b/>
          <w:bCs/>
          <w:sz w:val="24"/>
        </w:rPr>
      </w:pPr>
      <w:bookmarkStart w:id="41" w:name="_Toc12171"/>
      <w:r>
        <w:rPr>
          <w:b/>
          <w:bCs/>
          <w:sz w:val="24"/>
        </w:rPr>
        <w:t>2</w:t>
      </w:r>
      <w:r>
        <w:rPr>
          <w:rFonts w:hint="eastAsia"/>
          <w:b/>
          <w:bCs/>
          <w:sz w:val="24"/>
        </w:rPr>
        <w:t>.</w:t>
      </w:r>
      <w:r>
        <w:rPr>
          <w:b/>
          <w:bCs/>
          <w:sz w:val="24"/>
        </w:rPr>
        <w:t>毕业要求</w:t>
      </w:r>
      <w:bookmarkEnd w:id="41"/>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2025年5月</w:t>
      </w:r>
      <w:r>
        <w:rPr>
          <w:sz w:val="24"/>
        </w:rPr>
        <w:fldChar w:fldCharType="end"/>
      </w:r>
      <w:bookmarkEnd w:id="21"/>
      <w:bookmarkEnd w:id="22"/>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方正公文小标宋">
    <w:panose1 w:val="02000500000000000000"/>
    <w:charset w:val="86"/>
    <w:family w:val="auto"/>
    <w:pitch w:val="default"/>
    <w:sig w:usb0="A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5E33AC"/>
    <w:multiLevelType w:val="singleLevel"/>
    <w:tmpl w:val="115E33AC"/>
    <w:lvl w:ilvl="0" w:tentative="0">
      <w:start w:val="1"/>
      <w:numFmt w:val="decimal"/>
      <w:suff w:val="nothing"/>
      <w:lvlText w:val="%1、"/>
      <w:lvlJc w:val="left"/>
    </w:lvl>
  </w:abstractNum>
  <w:abstractNum w:abstractNumId="1">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2">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4">
    <w:nsid w:val="68B93E0F"/>
    <w:multiLevelType w:val="singleLevel"/>
    <w:tmpl w:val="68B93E0F"/>
    <w:lvl w:ilvl="0" w:tentative="0">
      <w:start w:val="1"/>
      <w:numFmt w:val="decimal"/>
      <w:suff w:val="nothing"/>
      <w:lvlText w:val="%1、"/>
      <w:lvlJc w:val="left"/>
    </w:lvl>
  </w:abstractNum>
  <w:abstractNum w:abstractNumId="5">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6E630E59"/>
    <w:multiLevelType w:val="singleLevel"/>
    <w:tmpl w:val="6E630E59"/>
    <w:lvl w:ilvl="0" w:tentative="0">
      <w:start w:val="1"/>
      <w:numFmt w:val="decimal"/>
      <w:suff w:val="nothing"/>
      <w:lvlText w:val="%1、"/>
      <w:lvlJc w:val="left"/>
    </w:lvl>
  </w:abstractNum>
  <w:abstractNum w:abstractNumId="7">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5"/>
  </w:num>
  <w:num w:numId="2">
    <w:abstractNumId w:val="2"/>
  </w:num>
  <w:num w:numId="3">
    <w:abstractNumId w:val="1"/>
  </w:num>
  <w:num w:numId="4">
    <w:abstractNumId w:val="4"/>
  </w:num>
  <w:num w:numId="5">
    <w:abstractNumId w:val="0"/>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93"/>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2182ED7"/>
    <w:rsid w:val="03433F84"/>
    <w:rsid w:val="03D96696"/>
    <w:rsid w:val="06913258"/>
    <w:rsid w:val="0A6A629A"/>
    <w:rsid w:val="0D766D04"/>
    <w:rsid w:val="12A8795F"/>
    <w:rsid w:val="15A44D56"/>
    <w:rsid w:val="15E11B06"/>
    <w:rsid w:val="17620A24"/>
    <w:rsid w:val="1A051B3B"/>
    <w:rsid w:val="20FB77F4"/>
    <w:rsid w:val="21240AF9"/>
    <w:rsid w:val="22124DF5"/>
    <w:rsid w:val="2265586D"/>
    <w:rsid w:val="2309444A"/>
    <w:rsid w:val="25284930"/>
    <w:rsid w:val="28373807"/>
    <w:rsid w:val="2B54647E"/>
    <w:rsid w:val="2C2220D9"/>
    <w:rsid w:val="301D7787"/>
    <w:rsid w:val="374E46CA"/>
    <w:rsid w:val="3814146F"/>
    <w:rsid w:val="3894610C"/>
    <w:rsid w:val="394406F9"/>
    <w:rsid w:val="396C52DB"/>
    <w:rsid w:val="3D3037BD"/>
    <w:rsid w:val="3FEE6A4A"/>
    <w:rsid w:val="40C17CBA"/>
    <w:rsid w:val="40E045E4"/>
    <w:rsid w:val="4A7779CD"/>
    <w:rsid w:val="4B95421D"/>
    <w:rsid w:val="4C63431C"/>
    <w:rsid w:val="4D333CEE"/>
    <w:rsid w:val="4DA92202"/>
    <w:rsid w:val="52AA2CA4"/>
    <w:rsid w:val="54CD726F"/>
    <w:rsid w:val="58070251"/>
    <w:rsid w:val="5C3B2BBF"/>
    <w:rsid w:val="5D641CA2"/>
    <w:rsid w:val="5F751F44"/>
    <w:rsid w:val="5FA120BA"/>
    <w:rsid w:val="6062071A"/>
    <w:rsid w:val="61811074"/>
    <w:rsid w:val="65062AC6"/>
    <w:rsid w:val="66822C7A"/>
    <w:rsid w:val="66C7577B"/>
    <w:rsid w:val="66CB4EB1"/>
    <w:rsid w:val="6BFA669F"/>
    <w:rsid w:val="6E2E7E8E"/>
    <w:rsid w:val="726C71D7"/>
    <w:rsid w:val="735A1AD1"/>
    <w:rsid w:val="7505704F"/>
    <w:rsid w:val="761D53B8"/>
    <w:rsid w:val="7A5F41AC"/>
    <w:rsid w:val="7A835A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99" w:semiHidden="0" w:name="Body Text Indent 2"/>
    <w:lsdException w:uiPriority="99" w:name="Body Text Indent 3"/>
    <w:lsdException w:uiPriority="99" w:name="Block Text"/>
    <w:lsdException w:qFormat="1" w:uiPriority="99" w:semiHidden="0" w:name="Hyperlink"/>
    <w:lsdException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6">
    <w:name w:val="Document Map"/>
    <w:basedOn w:val="1"/>
    <w:link w:val="32"/>
    <w:semiHidden/>
    <w:qFormat/>
    <w:uiPriority w:val="99"/>
    <w:pPr>
      <w:shd w:val="clear" w:color="auto" w:fill="000080"/>
    </w:pPr>
  </w:style>
  <w:style w:type="paragraph" w:styleId="7">
    <w:name w:val="Body Text"/>
    <w:basedOn w:val="1"/>
    <w:link w:val="135"/>
    <w:unhideWhenUsed/>
    <w:uiPriority w:val="99"/>
    <w:pPr>
      <w:spacing w:after="120"/>
    </w:pPr>
  </w:style>
  <w:style w:type="paragraph" w:styleId="8">
    <w:name w:val="toc 3"/>
    <w:basedOn w:val="1"/>
    <w:next w:val="1"/>
    <w:autoRedefine/>
    <w:unhideWhenUsed/>
    <w:uiPriority w:val="39"/>
    <w:pPr>
      <w:ind w:left="840" w:leftChars="400"/>
    </w:pPr>
  </w:style>
  <w:style w:type="paragraph" w:styleId="9">
    <w:name w:val="Plain Text"/>
    <w:basedOn w:val="1"/>
    <w:link w:val="36"/>
    <w:qFormat/>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uiPriority w:val="99"/>
    <w:pPr>
      <w:ind w:firstLine="420" w:firstLineChars="200"/>
    </w:pPr>
    <w:rPr>
      <w:rFonts w:ascii="宋体" w:hAnsi="宋体"/>
    </w:rPr>
  </w:style>
  <w:style w:type="paragraph" w:styleId="12">
    <w:name w:val="Balloon Text"/>
    <w:basedOn w:val="1"/>
    <w:link w:val="35"/>
    <w:unhideWhenUsed/>
    <w:qFormat/>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qFormat/>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uiPriority w:val="39"/>
    <w:pPr>
      <w:ind w:left="420" w:leftChars="200"/>
    </w:pPr>
    <w:rPr>
      <w:rFonts w:ascii="Calibri" w:hAnsi="Calibri"/>
      <w:szCs w:val="22"/>
    </w:rPr>
  </w:style>
  <w:style w:type="paragraph" w:styleId="17">
    <w:name w:val="toc 9"/>
    <w:basedOn w:val="1"/>
    <w:next w:val="1"/>
    <w:autoRedefine/>
    <w:unhideWhenUsed/>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uiPriority w:val="99"/>
    <w:rPr>
      <w:color w:val="954F72"/>
      <w:u w:val="single"/>
    </w:rPr>
  </w:style>
  <w:style w:type="character" w:styleId="24">
    <w:name w:val="Hyperlink"/>
    <w:unhideWhenUsed/>
    <w:qFormat/>
    <w:uiPriority w:val="99"/>
    <w:rPr>
      <w:color w:val="0563C1"/>
      <w:u w:val="single"/>
    </w:rPr>
  </w:style>
  <w:style w:type="character" w:customStyle="1" w:styleId="25">
    <w:name w:val="标题 1 字符"/>
    <w:basedOn w:val="21"/>
    <w:link w:val="2"/>
    <w:uiPriority w:val="0"/>
    <w:rPr>
      <w:rFonts w:ascii="Calibri" w:hAnsi="Calibri" w:cs="Times New Roman"/>
      <w:b/>
      <w:bCs/>
      <w:kern w:val="44"/>
      <w:sz w:val="44"/>
      <w:szCs w:val="44"/>
    </w:rPr>
  </w:style>
  <w:style w:type="character" w:customStyle="1" w:styleId="26">
    <w:name w:val="标题 2 字符"/>
    <w:basedOn w:val="21"/>
    <w:link w:val="3"/>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qFormat/>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qFormat/>
    <w:uiPriority w:val="99"/>
    <w:rPr>
      <w:rFonts w:ascii="仿宋_GB2312" w:eastAsia="仿宋_GB2312"/>
      <w:sz w:val="30"/>
      <w:szCs w:val="30"/>
    </w:rPr>
  </w:style>
  <w:style w:type="character" w:customStyle="1" w:styleId="32">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qFormat/>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qFormat/>
    <w:uiPriority w:val="0"/>
    <w:pPr>
      <w:widowControl/>
      <w:spacing w:before="100" w:beforeAutospacing="1" w:after="100" w:afterAutospacing="1"/>
      <w:jc w:val="left"/>
    </w:pPr>
    <w:rPr>
      <w:kern w:val="0"/>
      <w:sz w:val="20"/>
      <w:szCs w:val="20"/>
    </w:rPr>
  </w:style>
  <w:style w:type="paragraph" w:customStyle="1" w:styleId="40">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uiPriority w:val="0"/>
    <w:pPr>
      <w:widowControl/>
      <w:spacing w:before="100" w:beforeAutospacing="1" w:after="100" w:afterAutospacing="1"/>
      <w:jc w:val="center"/>
      <w:textAlignment w:val="center"/>
    </w:pPr>
    <w:rPr>
      <w:kern w:val="0"/>
      <w:sz w:val="24"/>
    </w:rPr>
  </w:style>
  <w:style w:type="paragraph" w:customStyle="1" w:styleId="53">
    <w:name w:val="xl9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qFormat/>
    <w:uiPriority w:val="0"/>
    <w:pPr>
      <w:widowControl/>
      <w:spacing w:before="100" w:beforeAutospacing="1" w:after="100" w:afterAutospacing="1"/>
      <w:jc w:val="left"/>
    </w:pPr>
    <w:rPr>
      <w:kern w:val="0"/>
      <w:sz w:val="24"/>
    </w:rPr>
  </w:style>
  <w:style w:type="paragraph" w:customStyle="1" w:styleId="60">
    <w:name w:val="xl104"/>
    <w:basedOn w:val="1"/>
    <w:qFormat/>
    <w:uiPriority w:val="0"/>
    <w:pPr>
      <w:widowControl/>
      <w:spacing w:before="100" w:beforeAutospacing="1" w:after="100" w:afterAutospacing="1"/>
      <w:jc w:val="left"/>
    </w:pPr>
    <w:rPr>
      <w:kern w:val="0"/>
      <w:sz w:val="24"/>
    </w:rPr>
  </w:style>
  <w:style w:type="paragraph" w:customStyle="1" w:styleId="61">
    <w:name w:val="xl105"/>
    <w:basedOn w:val="1"/>
    <w:uiPriority w:val="0"/>
    <w:pPr>
      <w:widowControl/>
      <w:spacing w:before="100" w:beforeAutospacing="1" w:after="100" w:afterAutospacing="1"/>
      <w:jc w:val="center"/>
    </w:pPr>
    <w:rPr>
      <w:kern w:val="0"/>
      <w:sz w:val="24"/>
    </w:rPr>
  </w:style>
  <w:style w:type="paragraph" w:customStyle="1" w:styleId="6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qFormat/>
    <w:uiPriority w:val="99"/>
    <w:rPr>
      <w:rFonts w:cs="Times New Roman"/>
      <w:kern w:val="2"/>
      <w:sz w:val="21"/>
      <w:szCs w:val="24"/>
    </w:rPr>
  </w:style>
  <w:style w:type="character" w:customStyle="1" w:styleId="92">
    <w:name w:val="apple-converted-space"/>
    <w:uiPriority w:val="99"/>
    <w:rPr>
      <w:rFonts w:cs="Times New Roman"/>
    </w:rPr>
  </w:style>
  <w:style w:type="paragraph" w:customStyle="1" w:styleId="93">
    <w:name w:val="List Paragraph1"/>
    <w:basedOn w:val="1"/>
    <w:uiPriority w:val="99"/>
    <w:pPr>
      <w:ind w:firstLine="420" w:firstLineChars="200"/>
    </w:pPr>
    <w:rPr>
      <w:rFonts w:ascii="Calibri" w:hAnsi="Calibri"/>
      <w:szCs w:val="22"/>
    </w:rPr>
  </w:style>
  <w:style w:type="character" w:customStyle="1" w:styleId="94">
    <w:name w:val="font21"/>
    <w:qFormat/>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qFormat/>
    <w:uiPriority w:val="9"/>
    <w:rPr>
      <w:rFonts w:ascii="Times New Roman" w:hAnsi="Times New Roman" w:cs="Times New Roman"/>
      <w:b/>
      <w:bCs/>
      <w:kern w:val="2"/>
      <w:sz w:val="28"/>
      <w:szCs w:val="28"/>
    </w:rPr>
  </w:style>
  <w:style w:type="character" w:customStyle="1" w:styleId="135">
    <w:name w:val="正文文本 字符"/>
    <w:basedOn w:val="21"/>
    <w:link w:val="7"/>
    <w:qFormat/>
    <w:uiPriority w:val="99"/>
    <w:rPr>
      <w:rFonts w:ascii="Times New Roman" w:hAnsi="Times New Roman" w:cs="Times New Roman"/>
      <w:kern w:val="2"/>
      <w:sz w:val="21"/>
      <w:szCs w:val="24"/>
    </w:rPr>
  </w:style>
  <w:style w:type="character" w:customStyle="1" w:styleId="136">
    <w:name w:val="建设方案正文 Char Char"/>
    <w:link w:val="137"/>
    <w:qFormat/>
    <w:uiPriority w:val="0"/>
    <w:rPr>
      <w:rFonts w:ascii="仿宋_GB2312" w:eastAsia="仿宋_GB2312"/>
      <w:color w:val="000000"/>
      <w:kern w:val="2"/>
    </w:rPr>
  </w:style>
  <w:style w:type="paragraph" w:customStyle="1" w:styleId="137">
    <w:name w:val="建设方案正文"/>
    <w:basedOn w:val="1"/>
    <w:link w:val="136"/>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uiPriority w:val="0"/>
    <w:rPr>
      <w:rFonts w:ascii="黑体" w:hAnsi="黑体" w:eastAsia="黑体" w:cs="Times New Roman"/>
      <w:bCs/>
      <w:color w:val="000000"/>
      <w:kern w:val="2"/>
      <w:szCs w:val="24"/>
    </w:rPr>
  </w:style>
  <w:style w:type="paragraph" w:customStyle="1" w:styleId="14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19</Pages>
  <Words>835</Words>
  <Characters>920</Characters>
  <Lines>49</Lines>
  <Paragraphs>13</Paragraphs>
  <TotalTime>10</TotalTime>
  <ScaleCrop>false</ScaleCrop>
  <LinksUpToDate>false</LinksUpToDate>
  <CharactersWithSpaces>1118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與_信YANG_Tong行</cp:lastModifiedBy>
  <cp:lastPrinted>2025-05-12T02:07:00Z</cp:lastPrinted>
  <dcterms:modified xsi:type="dcterms:W3CDTF">2025-05-30T07:44:25Z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5AC6EDA01C9D4E8D98D06FE167555D43_13</vt:lpwstr>
  </property>
  <property fmtid="{D5CDD505-2E9C-101B-9397-08002B2CF9AE}" pid="4" name="KSOTemplateDocerSaveRecord">
    <vt:lpwstr>eyJoZGlkIjoiYTBjYmRkZThiYTU5OWQyMTRjOTIyYzViMTQ4NmU2NzEiLCJ1c2VySWQiOiIxNTk0NDQwMTM1In0=</vt:lpwstr>
  </property>
</Properties>
</file>